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DA" w:rsidRPr="00F04970" w:rsidRDefault="003967DA" w:rsidP="003967D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4970">
        <w:rPr>
          <w:rFonts w:ascii="Tahoma" w:hAnsi="Tahoma" w:cs="Tahoma"/>
        </w:rPr>
        <w:t>Este real decreto tiene por objeto regular las distintas iniciativas de formación que configuran el subsistema de formación profesional para el empleo, su régimen de funcionamiento y financiación, así como su estructura organizativa y de participación institucional.</w:t>
      </w:r>
    </w:p>
    <w:p w:rsidR="00132820" w:rsidRDefault="00132820">
      <w:bookmarkStart w:id="0" w:name="_GoBack"/>
      <w:bookmarkEnd w:id="0"/>
    </w:p>
    <w:sectPr w:rsidR="00132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A"/>
    <w:rsid w:val="00132820"/>
    <w:rsid w:val="003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1</cp:revision>
  <dcterms:created xsi:type="dcterms:W3CDTF">2011-10-21T09:43:00Z</dcterms:created>
  <dcterms:modified xsi:type="dcterms:W3CDTF">2011-10-21T09:44:00Z</dcterms:modified>
</cp:coreProperties>
</file>