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E0" w:rsidRPr="008B7EA8" w:rsidRDefault="008B7EA8" w:rsidP="008B7EA8">
      <w:pPr>
        <w:jc w:val="center"/>
        <w:rPr>
          <w:rFonts w:ascii="Arial" w:hAnsi="Arial" w:cs="Arial"/>
          <w:b/>
          <w:iCs/>
          <w:sz w:val="20"/>
          <w:szCs w:val="20"/>
        </w:rPr>
      </w:pPr>
      <w:r w:rsidRPr="008B7EA8">
        <w:rPr>
          <w:rFonts w:ascii="Arial" w:hAnsi="Arial" w:cs="Arial"/>
          <w:b/>
          <w:iCs/>
          <w:sz w:val="20"/>
          <w:szCs w:val="20"/>
        </w:rPr>
        <w:t>Informe Técnico: Evolución de la pobreza al 2010 INEI</w:t>
      </w:r>
    </w:p>
    <w:p w:rsidR="008B7EA8" w:rsidRPr="008B7EA8" w:rsidRDefault="008B7EA8" w:rsidP="008B7EA8">
      <w:pPr>
        <w:jc w:val="both"/>
        <w:rPr>
          <w:rFonts w:ascii="Arial" w:hAnsi="Arial" w:cs="Arial"/>
          <w:b/>
          <w:iCs/>
          <w:sz w:val="20"/>
          <w:szCs w:val="20"/>
        </w:rPr>
      </w:pPr>
    </w:p>
    <w:p w:rsidR="008B7EA8" w:rsidRPr="008B7EA8" w:rsidRDefault="008B7EA8" w:rsidP="008B7EA8">
      <w:pPr>
        <w:jc w:val="both"/>
        <w:rPr>
          <w:rFonts w:ascii="Arial" w:hAnsi="Arial" w:cs="Arial"/>
          <w:b/>
          <w:iCs/>
          <w:sz w:val="20"/>
          <w:szCs w:val="20"/>
        </w:rPr>
      </w:pPr>
      <w:r w:rsidRPr="008B7EA8">
        <w:rPr>
          <w:rFonts w:ascii="Arial" w:hAnsi="Arial" w:cs="Arial"/>
          <w:b/>
          <w:iCs/>
          <w:sz w:val="20"/>
          <w:szCs w:val="20"/>
        </w:rPr>
        <w:t>Gasto:</w:t>
      </w:r>
    </w:p>
    <w:p w:rsidR="008B7EA8" w:rsidRPr="008B7EA8" w:rsidRDefault="008B7EA8" w:rsidP="008B7EA8">
      <w:pPr>
        <w:pStyle w:val="Prrafodelista"/>
        <w:numPr>
          <w:ilvl w:val="0"/>
          <w:numId w:val="1"/>
        </w:numPr>
        <w:autoSpaceDE w:val="0"/>
        <w:autoSpaceDN w:val="0"/>
        <w:adjustRightInd w:val="0"/>
        <w:ind w:left="426"/>
        <w:jc w:val="both"/>
        <w:rPr>
          <w:rFonts w:ascii="Arial" w:hAnsi="Arial" w:cs="Arial"/>
          <w:sz w:val="20"/>
          <w:szCs w:val="20"/>
        </w:rPr>
      </w:pPr>
      <w:r w:rsidRPr="008B7EA8">
        <w:rPr>
          <w:rFonts w:ascii="Arial" w:hAnsi="Arial" w:cs="Arial"/>
          <w:sz w:val="20"/>
          <w:szCs w:val="20"/>
        </w:rPr>
        <w:t xml:space="preserve">2010: el gasto real promedio per cápita mensual a nivel </w:t>
      </w:r>
      <w:r w:rsidRPr="008B7EA8">
        <w:rPr>
          <w:rFonts w:ascii="Arial" w:hAnsi="Arial" w:cs="Arial"/>
          <w:b/>
          <w:sz w:val="20"/>
          <w:szCs w:val="20"/>
        </w:rPr>
        <w:t>nacional</w:t>
      </w:r>
      <w:r w:rsidRPr="008B7EA8">
        <w:rPr>
          <w:rFonts w:ascii="Arial" w:hAnsi="Arial" w:cs="Arial"/>
          <w:sz w:val="20"/>
          <w:szCs w:val="20"/>
        </w:rPr>
        <w:t xml:space="preserve"> alcanzó a 382,7 nuevos soles.</w:t>
      </w:r>
    </w:p>
    <w:p w:rsidR="008B7EA8" w:rsidRPr="008B7EA8" w:rsidRDefault="008B7EA8" w:rsidP="008B7EA8">
      <w:pPr>
        <w:pStyle w:val="Prrafodelista"/>
        <w:numPr>
          <w:ilvl w:val="0"/>
          <w:numId w:val="1"/>
        </w:numPr>
        <w:autoSpaceDE w:val="0"/>
        <w:autoSpaceDN w:val="0"/>
        <w:adjustRightInd w:val="0"/>
        <w:ind w:left="426"/>
        <w:jc w:val="both"/>
        <w:rPr>
          <w:rFonts w:ascii="Arial" w:hAnsi="Arial" w:cs="Arial"/>
          <w:sz w:val="20"/>
          <w:szCs w:val="20"/>
        </w:rPr>
      </w:pPr>
      <w:r w:rsidRPr="008B7EA8">
        <w:rPr>
          <w:rFonts w:ascii="Arial" w:hAnsi="Arial" w:cs="Arial"/>
          <w:sz w:val="20"/>
          <w:szCs w:val="20"/>
        </w:rPr>
        <w:t>Gasto per cápita real se incrementó de manera significativa en la Selva rural en 10,6%.</w:t>
      </w:r>
    </w:p>
    <w:p w:rsidR="008B7EA8" w:rsidRPr="008B7EA8" w:rsidRDefault="008B7EA8" w:rsidP="008B7EA8">
      <w:pPr>
        <w:pStyle w:val="Prrafodelista"/>
        <w:numPr>
          <w:ilvl w:val="0"/>
          <w:numId w:val="1"/>
        </w:numPr>
        <w:autoSpaceDE w:val="0"/>
        <w:autoSpaceDN w:val="0"/>
        <w:adjustRightInd w:val="0"/>
        <w:ind w:left="426"/>
        <w:jc w:val="both"/>
        <w:rPr>
          <w:rFonts w:ascii="Arial" w:hAnsi="Arial" w:cs="Arial"/>
          <w:sz w:val="20"/>
          <w:szCs w:val="20"/>
        </w:rPr>
      </w:pPr>
      <w:r w:rsidRPr="008B7EA8">
        <w:rPr>
          <w:rFonts w:ascii="Arial" w:hAnsi="Arial" w:cs="Arial"/>
          <w:sz w:val="20"/>
          <w:szCs w:val="20"/>
        </w:rPr>
        <w:t>Gastos de la canasta básica (alimentos y no alimentos): 40,9% alimentos (S/.156,6); alquiler de vivienda y combustible con 16,3%, (S/. 62,4); transportes y comunicaciones con 10,8% (S/.41,4); cuidados en la salud con 9,4% (S/. 36,1); esparcimiento, diversión y cultura con 8,3% (S/. 31,7); vestido y calzado con 5,0% (S/. 19,1); muebles y enseres con 4,1% (S/.15,7); y otros gastos acumulan 5,1% (S/.19,6).</w:t>
      </w:r>
    </w:p>
    <w:p w:rsidR="008B7EA8" w:rsidRPr="008B7EA8" w:rsidRDefault="008B7EA8" w:rsidP="008B7EA8">
      <w:pPr>
        <w:pStyle w:val="Prrafodelista"/>
        <w:numPr>
          <w:ilvl w:val="0"/>
          <w:numId w:val="1"/>
        </w:numPr>
        <w:autoSpaceDE w:val="0"/>
        <w:autoSpaceDN w:val="0"/>
        <w:adjustRightInd w:val="0"/>
        <w:ind w:left="426"/>
        <w:jc w:val="both"/>
        <w:rPr>
          <w:rFonts w:ascii="Arial" w:hAnsi="Arial" w:cs="Arial"/>
          <w:sz w:val="20"/>
          <w:szCs w:val="20"/>
        </w:rPr>
      </w:pPr>
      <w:r w:rsidRPr="008B7EA8">
        <w:rPr>
          <w:rFonts w:ascii="Arial" w:hAnsi="Arial" w:cs="Arial"/>
          <w:sz w:val="20"/>
          <w:szCs w:val="20"/>
        </w:rPr>
        <w:t xml:space="preserve">coeficiente de </w:t>
      </w:r>
      <w:proofErr w:type="spellStart"/>
      <w:r w:rsidRPr="008B7EA8">
        <w:rPr>
          <w:rFonts w:ascii="Arial" w:hAnsi="Arial" w:cs="Arial"/>
          <w:sz w:val="20"/>
          <w:szCs w:val="20"/>
        </w:rPr>
        <w:t>Gini</w:t>
      </w:r>
      <w:proofErr w:type="spellEnd"/>
      <w:r w:rsidRPr="008B7EA8">
        <w:rPr>
          <w:rFonts w:ascii="Arial" w:hAnsi="Arial" w:cs="Arial"/>
          <w:sz w:val="20"/>
          <w:szCs w:val="20"/>
        </w:rPr>
        <w:t xml:space="preserve">. (valor de 1, significa que existe perfecta desigualdad; si asume el valor 0 significa que existe perfecta igualdad) 2010, el coeficiente de </w:t>
      </w:r>
      <w:proofErr w:type="spellStart"/>
      <w:r w:rsidRPr="008B7EA8">
        <w:rPr>
          <w:rFonts w:ascii="Arial" w:hAnsi="Arial" w:cs="Arial"/>
          <w:sz w:val="20"/>
          <w:szCs w:val="20"/>
        </w:rPr>
        <w:t>Gini</w:t>
      </w:r>
      <w:proofErr w:type="spellEnd"/>
      <w:r w:rsidRPr="008B7EA8">
        <w:rPr>
          <w:rFonts w:ascii="Arial" w:hAnsi="Arial" w:cs="Arial"/>
          <w:sz w:val="20"/>
          <w:szCs w:val="20"/>
        </w:rPr>
        <w:t xml:space="preserve"> a nivel nacional alcanzo a 0,37.</w:t>
      </w:r>
    </w:p>
    <w:p w:rsidR="008B7EA8" w:rsidRPr="008B7EA8" w:rsidRDefault="008B7EA8" w:rsidP="008B7EA8">
      <w:pPr>
        <w:autoSpaceDE w:val="0"/>
        <w:autoSpaceDN w:val="0"/>
        <w:adjustRightInd w:val="0"/>
        <w:ind w:left="66"/>
        <w:jc w:val="both"/>
        <w:rPr>
          <w:rFonts w:ascii="Arial" w:hAnsi="Arial" w:cs="Arial"/>
          <w:b/>
          <w:sz w:val="20"/>
          <w:szCs w:val="20"/>
        </w:rPr>
      </w:pPr>
      <w:r w:rsidRPr="008B7EA8">
        <w:rPr>
          <w:rFonts w:ascii="Arial" w:hAnsi="Arial" w:cs="Arial"/>
          <w:b/>
          <w:sz w:val="20"/>
          <w:szCs w:val="20"/>
        </w:rPr>
        <w:t>Ingreso</w:t>
      </w:r>
    </w:p>
    <w:p w:rsidR="008B7EA8" w:rsidRPr="008B7EA8" w:rsidRDefault="008B7EA8" w:rsidP="008B7EA8">
      <w:pPr>
        <w:pStyle w:val="Prrafodelista"/>
        <w:numPr>
          <w:ilvl w:val="0"/>
          <w:numId w:val="2"/>
        </w:numPr>
        <w:autoSpaceDE w:val="0"/>
        <w:autoSpaceDN w:val="0"/>
        <w:adjustRightInd w:val="0"/>
        <w:ind w:left="426"/>
        <w:jc w:val="both"/>
        <w:rPr>
          <w:rFonts w:ascii="Arial" w:hAnsi="Arial" w:cs="Arial"/>
          <w:sz w:val="20"/>
          <w:szCs w:val="20"/>
        </w:rPr>
      </w:pPr>
      <w:r w:rsidRPr="008B7EA8">
        <w:rPr>
          <w:rFonts w:ascii="Arial" w:hAnsi="Arial" w:cs="Arial"/>
          <w:sz w:val="20"/>
          <w:szCs w:val="20"/>
        </w:rPr>
        <w:t>2010: el ingreso promedio per cápita real mensual ascendió a S/.491</w:t>
      </w:r>
      <w:proofErr w:type="gramStart"/>
      <w:r w:rsidRPr="008B7EA8">
        <w:rPr>
          <w:rFonts w:ascii="Arial" w:hAnsi="Arial" w:cs="Arial"/>
          <w:sz w:val="20"/>
          <w:szCs w:val="20"/>
        </w:rPr>
        <w:t>,4</w:t>
      </w:r>
      <w:proofErr w:type="gramEnd"/>
      <w:r w:rsidRPr="008B7EA8">
        <w:rPr>
          <w:rFonts w:ascii="Arial" w:hAnsi="Arial" w:cs="Arial"/>
          <w:sz w:val="20"/>
          <w:szCs w:val="20"/>
        </w:rPr>
        <w:t xml:space="preserve"> nuevos soles, lo que representó un incremento de 3,8%.</w:t>
      </w:r>
    </w:p>
    <w:p w:rsidR="008B7EA8" w:rsidRDefault="008B7EA8" w:rsidP="008B7EA8">
      <w:pPr>
        <w:pStyle w:val="Prrafodelista"/>
        <w:numPr>
          <w:ilvl w:val="0"/>
          <w:numId w:val="2"/>
        </w:numPr>
        <w:autoSpaceDE w:val="0"/>
        <w:autoSpaceDN w:val="0"/>
        <w:adjustRightInd w:val="0"/>
        <w:ind w:left="426"/>
        <w:jc w:val="both"/>
        <w:rPr>
          <w:rFonts w:ascii="Arial" w:hAnsi="Arial" w:cs="Arial"/>
          <w:sz w:val="20"/>
          <w:szCs w:val="20"/>
        </w:rPr>
      </w:pPr>
      <w:r w:rsidRPr="008B7EA8">
        <w:rPr>
          <w:rFonts w:ascii="Arial" w:hAnsi="Arial" w:cs="Arial"/>
          <w:sz w:val="20"/>
          <w:szCs w:val="20"/>
        </w:rPr>
        <w:t>Mayor fuente de ingreso por renta.</w:t>
      </w:r>
    </w:p>
    <w:p w:rsidR="008B7EA8" w:rsidRDefault="008B7EA8" w:rsidP="008B7EA8">
      <w:pPr>
        <w:pStyle w:val="Prrafodelista"/>
        <w:numPr>
          <w:ilvl w:val="0"/>
          <w:numId w:val="2"/>
        </w:numPr>
        <w:autoSpaceDE w:val="0"/>
        <w:autoSpaceDN w:val="0"/>
        <w:adjustRightInd w:val="0"/>
        <w:ind w:left="426" w:hanging="426"/>
        <w:jc w:val="both"/>
        <w:rPr>
          <w:rFonts w:ascii="Arial" w:hAnsi="Arial" w:cs="Arial"/>
          <w:sz w:val="20"/>
          <w:szCs w:val="20"/>
        </w:rPr>
      </w:pPr>
      <w:proofErr w:type="spellStart"/>
      <w:r>
        <w:rPr>
          <w:rFonts w:ascii="Arial" w:hAnsi="Arial" w:cs="Arial"/>
          <w:sz w:val="20"/>
          <w:szCs w:val="20"/>
        </w:rPr>
        <w:t>Gini</w:t>
      </w:r>
      <w:proofErr w:type="spellEnd"/>
      <w:r>
        <w:rPr>
          <w:rFonts w:ascii="Arial" w:hAnsi="Arial" w:cs="Arial"/>
          <w:sz w:val="20"/>
          <w:szCs w:val="20"/>
        </w:rPr>
        <w:t xml:space="preserve"> para </w:t>
      </w:r>
      <w:r w:rsidRPr="008B7EA8">
        <w:rPr>
          <w:rFonts w:ascii="Arial" w:hAnsi="Arial" w:cs="Arial"/>
          <w:sz w:val="20"/>
          <w:szCs w:val="20"/>
        </w:rPr>
        <w:t>el año 2010 a 0,46</w:t>
      </w:r>
      <w:r>
        <w:rPr>
          <w:rFonts w:ascii="Arial" w:hAnsi="Arial" w:cs="Arial"/>
          <w:sz w:val="20"/>
          <w:szCs w:val="20"/>
        </w:rPr>
        <w:t>.</w:t>
      </w:r>
    </w:p>
    <w:p w:rsidR="00804520" w:rsidRDefault="00804520" w:rsidP="00804520">
      <w:pPr>
        <w:autoSpaceDE w:val="0"/>
        <w:autoSpaceDN w:val="0"/>
        <w:adjustRightInd w:val="0"/>
        <w:jc w:val="both"/>
        <w:rPr>
          <w:rFonts w:ascii="Arial" w:hAnsi="Arial" w:cs="Arial"/>
          <w:b/>
          <w:sz w:val="20"/>
          <w:szCs w:val="20"/>
        </w:rPr>
      </w:pPr>
      <w:r w:rsidRPr="00804520">
        <w:rPr>
          <w:rFonts w:ascii="Arial" w:hAnsi="Arial" w:cs="Arial"/>
          <w:b/>
          <w:sz w:val="20"/>
          <w:szCs w:val="20"/>
        </w:rPr>
        <w:t>Evolución de la línea de la pobreza</w:t>
      </w:r>
    </w:p>
    <w:p w:rsidR="00804520" w:rsidRPr="00804520" w:rsidRDefault="00804520" w:rsidP="00804520">
      <w:pPr>
        <w:pStyle w:val="Prrafodelista"/>
        <w:numPr>
          <w:ilvl w:val="0"/>
          <w:numId w:val="2"/>
        </w:numPr>
        <w:autoSpaceDE w:val="0"/>
        <w:autoSpaceDN w:val="0"/>
        <w:adjustRightInd w:val="0"/>
        <w:ind w:left="426" w:hanging="426"/>
        <w:jc w:val="both"/>
        <w:rPr>
          <w:rFonts w:ascii="Arial" w:hAnsi="Arial" w:cs="Arial"/>
          <w:b/>
          <w:sz w:val="20"/>
          <w:szCs w:val="20"/>
        </w:rPr>
      </w:pPr>
      <w:r w:rsidRPr="00804520">
        <w:rPr>
          <w:rFonts w:ascii="FuturaBT-Light-Identity-H" w:hAnsi="FuturaBT-Light-Identity-H" w:cs="FuturaBT-Light-Identity-H"/>
          <w:sz w:val="20"/>
          <w:szCs w:val="20"/>
        </w:rPr>
        <w:t xml:space="preserve">La línea de pobreza es el valor monetario con el cual se contrastan el gasto per cápita mensual de un hogar para determinar si está en condiciones de pobreza o no. Este valor está conformado por </w:t>
      </w:r>
      <w:r w:rsidRPr="00804520">
        <w:rPr>
          <w:rFonts w:ascii="FuturaBT-Light-Identity-H" w:hAnsi="FuturaBT-Light-Identity-H" w:cs="FuturaBT-Light-Identity-H"/>
          <w:b/>
          <w:sz w:val="20"/>
          <w:szCs w:val="20"/>
        </w:rPr>
        <w:t>dos componentes</w:t>
      </w:r>
      <w:r w:rsidRPr="00804520">
        <w:rPr>
          <w:rFonts w:ascii="FuturaBT-Light-Identity-H" w:hAnsi="FuturaBT-Light-Identity-H" w:cs="FuturaBT-Light-Identity-H"/>
          <w:sz w:val="20"/>
          <w:szCs w:val="20"/>
        </w:rPr>
        <w:t>: el componente alimentario, que es llamado también línea de pobreza extrema; y el componente no</w:t>
      </w:r>
      <w:r>
        <w:rPr>
          <w:rFonts w:ascii="FuturaBT-Light-Identity-H" w:hAnsi="FuturaBT-Light-Identity-H" w:cs="FuturaBT-Light-Identity-H"/>
          <w:sz w:val="20"/>
          <w:szCs w:val="20"/>
        </w:rPr>
        <w:t xml:space="preserve"> </w:t>
      </w:r>
      <w:r w:rsidRPr="00804520">
        <w:rPr>
          <w:rFonts w:ascii="FuturaBT-Light-Identity-H" w:hAnsi="FuturaBT-Light-Identity-H" w:cs="FuturaBT-Light-Identity-H"/>
          <w:sz w:val="20"/>
          <w:szCs w:val="20"/>
        </w:rPr>
        <w:t>alimentario</w:t>
      </w:r>
      <w:r w:rsidRPr="00804520">
        <w:rPr>
          <w:rFonts w:ascii="FuturaBT-Light-Identity-H" w:hAnsi="FuturaBT-Light-Identity-H" w:cs="FuturaBT-Light-Identity-H"/>
          <w:b/>
          <w:sz w:val="20"/>
          <w:szCs w:val="20"/>
        </w:rPr>
        <w:t xml:space="preserve">. </w:t>
      </w:r>
    </w:p>
    <w:p w:rsidR="00804520" w:rsidRPr="00804520" w:rsidRDefault="00804520" w:rsidP="00804520">
      <w:pPr>
        <w:pStyle w:val="Prrafodelista"/>
        <w:numPr>
          <w:ilvl w:val="0"/>
          <w:numId w:val="2"/>
        </w:numPr>
        <w:autoSpaceDE w:val="0"/>
        <w:autoSpaceDN w:val="0"/>
        <w:adjustRightInd w:val="0"/>
        <w:ind w:left="426" w:hanging="426"/>
        <w:jc w:val="both"/>
        <w:rPr>
          <w:rFonts w:ascii="Arial" w:hAnsi="Arial" w:cs="Arial"/>
          <w:b/>
          <w:sz w:val="20"/>
          <w:szCs w:val="20"/>
        </w:rPr>
      </w:pPr>
      <w:r w:rsidRPr="00804520">
        <w:rPr>
          <w:rFonts w:ascii="FuturaBT-Light-Identity-H" w:hAnsi="FuturaBT-Light-Identity-H" w:cs="FuturaBT-Light-Identity-H"/>
          <w:b/>
          <w:sz w:val="20"/>
          <w:szCs w:val="20"/>
        </w:rPr>
        <w:t>Alimentarias y no alimentarias</w:t>
      </w:r>
      <w:r w:rsidRPr="00804520">
        <w:rPr>
          <w:rFonts w:ascii="FuturaBT-Light-Identity-H" w:hAnsi="FuturaBT-Light-Identity-H" w:cs="FuturaBT-Light-Identity-H"/>
          <w:sz w:val="20"/>
          <w:szCs w:val="20"/>
        </w:rPr>
        <w:t>: S/. 264.</w:t>
      </w:r>
      <w:r>
        <w:rPr>
          <w:rFonts w:ascii="FuturaBT-Light-Identity-H" w:hAnsi="FuturaBT-Light-Identity-H" w:cs="FuturaBT-Light-Identity-H"/>
          <w:sz w:val="20"/>
          <w:szCs w:val="20"/>
        </w:rPr>
        <w:t xml:space="preserve"> </w:t>
      </w:r>
    </w:p>
    <w:p w:rsidR="00804520" w:rsidRPr="00804520" w:rsidRDefault="00804520" w:rsidP="00804520">
      <w:pPr>
        <w:pStyle w:val="Prrafodelista"/>
        <w:numPr>
          <w:ilvl w:val="0"/>
          <w:numId w:val="2"/>
        </w:numPr>
        <w:autoSpaceDE w:val="0"/>
        <w:autoSpaceDN w:val="0"/>
        <w:adjustRightInd w:val="0"/>
        <w:ind w:left="426" w:hanging="426"/>
        <w:jc w:val="both"/>
        <w:rPr>
          <w:rFonts w:ascii="Arial" w:hAnsi="Arial" w:cs="Arial"/>
          <w:b/>
          <w:sz w:val="20"/>
          <w:szCs w:val="20"/>
        </w:rPr>
      </w:pPr>
      <w:r w:rsidRPr="00804520">
        <w:rPr>
          <w:rFonts w:ascii="FuturaBT-Light-Identity-H" w:hAnsi="FuturaBT-Light-Identity-H" w:cs="FuturaBT-Light-Identity-H"/>
          <w:sz w:val="20"/>
          <w:szCs w:val="20"/>
        </w:rPr>
        <w:t>Canasta alimentaria en Lima S/. 325 nuevos soles corrientes per cápita mensual, para el resto urbano a S/. 268 y para el área rural a S/. 208 nuevos soles corrientes.</w:t>
      </w:r>
    </w:p>
    <w:p w:rsidR="00804520" w:rsidRDefault="00804520" w:rsidP="00804520">
      <w:pPr>
        <w:pStyle w:val="Prrafodelista"/>
        <w:numPr>
          <w:ilvl w:val="0"/>
          <w:numId w:val="2"/>
        </w:numPr>
        <w:autoSpaceDE w:val="0"/>
        <w:autoSpaceDN w:val="0"/>
        <w:adjustRightInd w:val="0"/>
        <w:ind w:left="426" w:hanging="426"/>
        <w:jc w:val="both"/>
        <w:rPr>
          <w:rFonts w:ascii="FuturaBT-Light-Identity-H" w:hAnsi="FuturaBT-Light-Identity-H" w:cs="FuturaBT-Light-Identity-H"/>
          <w:sz w:val="20"/>
          <w:szCs w:val="20"/>
        </w:rPr>
      </w:pPr>
      <w:r w:rsidRPr="00804520">
        <w:rPr>
          <w:rFonts w:ascii="FuturaBT-Light-Identity-H" w:hAnsi="FuturaBT-Light-Identity-H" w:cs="FuturaBT-Light-Identity-H"/>
          <w:sz w:val="20"/>
          <w:szCs w:val="20"/>
        </w:rPr>
        <w:t>Canasta a</w:t>
      </w:r>
      <w:r w:rsidRPr="00804520">
        <w:rPr>
          <w:rFonts w:ascii="FuturaBT-Light-Identity-H" w:hAnsi="FuturaBT-Light-Identity-H" w:cs="FuturaBT-Light-Identity-H"/>
          <w:b/>
          <w:sz w:val="20"/>
          <w:szCs w:val="20"/>
        </w:rPr>
        <w:t>limentari</w:t>
      </w:r>
      <w:r w:rsidRPr="00804520">
        <w:rPr>
          <w:rFonts w:ascii="FuturaBT-Light-Identity-H" w:hAnsi="FuturaBT-Light-Identity-H" w:cs="FuturaBT-Light-Identity-H"/>
          <w:sz w:val="20"/>
          <w:szCs w:val="20"/>
        </w:rPr>
        <w:t>a</w:t>
      </w:r>
      <w:r>
        <w:rPr>
          <w:rFonts w:ascii="FuturaBT-Light-Identity-H" w:hAnsi="FuturaBT-Light-Identity-H" w:cs="FuturaBT-Light-Identity-H"/>
          <w:sz w:val="20"/>
          <w:szCs w:val="20"/>
        </w:rPr>
        <w:t xml:space="preserve"> nacional</w:t>
      </w:r>
      <w:r w:rsidRPr="00804520">
        <w:rPr>
          <w:rFonts w:ascii="FuturaBT-Light-Identity-H" w:hAnsi="FuturaBT-Light-Identity-H" w:cs="FuturaBT-Light-Identity-H"/>
          <w:sz w:val="20"/>
          <w:szCs w:val="20"/>
        </w:rPr>
        <w:t>: S/.149</w:t>
      </w:r>
    </w:p>
    <w:p w:rsidR="00804520" w:rsidRDefault="00804520" w:rsidP="00804520">
      <w:pPr>
        <w:pStyle w:val="Prrafodelista"/>
        <w:numPr>
          <w:ilvl w:val="0"/>
          <w:numId w:val="2"/>
        </w:numPr>
        <w:autoSpaceDE w:val="0"/>
        <w:autoSpaceDN w:val="0"/>
        <w:adjustRightInd w:val="0"/>
        <w:ind w:left="426" w:hanging="426"/>
        <w:jc w:val="both"/>
        <w:rPr>
          <w:rFonts w:ascii="FuturaBT-Light-Identity-H" w:hAnsi="FuturaBT-Light-Identity-H" w:cs="FuturaBT-Light-Identity-H"/>
          <w:sz w:val="20"/>
          <w:szCs w:val="20"/>
        </w:rPr>
      </w:pPr>
      <w:r w:rsidRPr="00804520">
        <w:rPr>
          <w:rFonts w:ascii="FuturaBT-Light-Identity-H" w:hAnsi="FuturaBT-Light-Identity-H" w:cs="FuturaBT-Light-Identity-H"/>
          <w:sz w:val="20"/>
          <w:szCs w:val="20"/>
        </w:rPr>
        <w:t>Canasta alimentaria en Lima Metropolitana es de S/. 160 nuevos soles, en el resto urbano de S/. 151 nuevos soles; y en el área rural de S/. 137 nuevos soles.</w:t>
      </w:r>
      <w:r>
        <w:rPr>
          <w:rFonts w:ascii="FuturaBT-Light-Identity-H" w:hAnsi="FuturaBT-Light-Identity-H" w:cs="FuturaBT-Light-Identity-H"/>
          <w:sz w:val="20"/>
          <w:szCs w:val="20"/>
        </w:rPr>
        <w:t xml:space="preserve"> </w:t>
      </w:r>
    </w:p>
    <w:p w:rsidR="00804520" w:rsidRPr="00DA1B0F" w:rsidRDefault="00804520" w:rsidP="00804520">
      <w:pPr>
        <w:pStyle w:val="Prrafodelista"/>
        <w:numPr>
          <w:ilvl w:val="0"/>
          <w:numId w:val="2"/>
        </w:numPr>
        <w:autoSpaceDE w:val="0"/>
        <w:autoSpaceDN w:val="0"/>
        <w:adjustRightInd w:val="0"/>
        <w:ind w:left="426" w:hanging="426"/>
        <w:jc w:val="both"/>
        <w:rPr>
          <w:rFonts w:ascii="Arial" w:hAnsi="Arial" w:cs="Arial"/>
          <w:b/>
          <w:sz w:val="20"/>
          <w:szCs w:val="20"/>
        </w:rPr>
      </w:pPr>
      <w:r w:rsidRPr="00804520">
        <w:rPr>
          <w:rFonts w:ascii="FuturaBT-Light-Identity-H" w:hAnsi="FuturaBT-Light-Identity-H" w:cs="FuturaBT-Light-Identity-H"/>
          <w:sz w:val="20"/>
          <w:szCs w:val="20"/>
        </w:rPr>
        <w:t xml:space="preserve">El componente </w:t>
      </w:r>
      <w:r w:rsidRPr="00804520">
        <w:rPr>
          <w:rFonts w:ascii="FuturaBT-Light-Identity-H" w:hAnsi="FuturaBT-Light-Identity-H" w:cs="FuturaBT-Light-Identity-H"/>
          <w:b/>
          <w:sz w:val="20"/>
          <w:szCs w:val="20"/>
        </w:rPr>
        <w:t>no alimentario</w:t>
      </w:r>
      <w:r w:rsidRPr="00804520">
        <w:rPr>
          <w:rFonts w:ascii="FuturaBT-Light-Identity-H" w:hAnsi="FuturaBT-Light-Identity-H" w:cs="FuturaBT-Light-Identity-H"/>
          <w:sz w:val="20"/>
          <w:szCs w:val="20"/>
        </w:rPr>
        <w:t>, está constituido por el valor de la canasta de bienes y servicios que requiere una persona para satisfacer sus necesidades referidas al vestido, calzado, alquiler de vivienda, uso de combustible, muebles, enseres, cuidados de la salud, transportes, comunicaciones, esparcimiento, educación, cultura y otros.</w:t>
      </w:r>
    </w:p>
    <w:p w:rsidR="00DA1B0F" w:rsidRPr="00DA1B0F" w:rsidRDefault="00DA1B0F" w:rsidP="00804520">
      <w:pPr>
        <w:pStyle w:val="Prrafodelista"/>
        <w:numPr>
          <w:ilvl w:val="0"/>
          <w:numId w:val="2"/>
        </w:numPr>
        <w:autoSpaceDE w:val="0"/>
        <w:autoSpaceDN w:val="0"/>
        <w:adjustRightInd w:val="0"/>
        <w:ind w:left="426" w:hanging="426"/>
        <w:jc w:val="both"/>
        <w:rPr>
          <w:rFonts w:ascii="Arial" w:hAnsi="Arial" w:cs="Arial"/>
          <w:b/>
          <w:sz w:val="20"/>
          <w:szCs w:val="20"/>
        </w:rPr>
      </w:pPr>
      <w:r w:rsidRPr="00DA1B0F">
        <w:rPr>
          <w:rFonts w:ascii="FuturaBT-Light-Identity-H" w:hAnsi="FuturaBT-Light-Identity-H" w:cs="FuturaBT-Light-Identity-H"/>
          <w:b/>
          <w:sz w:val="20"/>
          <w:szCs w:val="20"/>
        </w:rPr>
        <w:t>Evolución 2001 a 2010</w:t>
      </w:r>
      <w:r>
        <w:rPr>
          <w:rFonts w:ascii="FuturaBT-Light-Identity-H" w:hAnsi="FuturaBT-Light-Identity-H" w:cs="FuturaBT-Light-Identity-H"/>
          <w:b/>
          <w:sz w:val="20"/>
          <w:szCs w:val="20"/>
        </w:rPr>
        <w:t xml:space="preserve"> línea de pobreza total </w:t>
      </w:r>
      <w:r>
        <w:rPr>
          <w:rFonts w:ascii="FuturaBT-Light-Identity-H" w:hAnsi="FuturaBT-Light-Identity-H" w:cs="FuturaBT-Light-Identity-H"/>
          <w:sz w:val="20"/>
          <w:szCs w:val="20"/>
        </w:rPr>
        <w:t>(alimentarias y no alimentaria).</w:t>
      </w:r>
    </w:p>
    <w:p w:rsidR="00DA1B0F" w:rsidRPr="00DA1B0F" w:rsidRDefault="00DA1B0F" w:rsidP="00DA1B0F">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r>
        <w:rPr>
          <w:rFonts w:ascii="Arial" w:hAnsi="Arial" w:cs="Arial"/>
          <w:b/>
          <w:noProof/>
          <w:sz w:val="20"/>
          <w:szCs w:val="20"/>
          <w:lang w:eastAsia="es-PE"/>
        </w:rPr>
        <w:drawing>
          <wp:anchor distT="0" distB="0" distL="114300" distR="114300" simplePos="0" relativeHeight="251658240" behindDoc="0" locked="0" layoutInCell="1" allowOverlap="1" wp14:anchorId="675833B2" wp14:editId="3DC411C6">
            <wp:simplePos x="0" y="0"/>
            <wp:positionH relativeFrom="column">
              <wp:posOffset>329565</wp:posOffset>
            </wp:positionH>
            <wp:positionV relativeFrom="paragraph">
              <wp:posOffset>47625</wp:posOffset>
            </wp:positionV>
            <wp:extent cx="4762500" cy="334708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4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DA1B0F" w:rsidRDefault="00DA1B0F" w:rsidP="00804520">
      <w:pPr>
        <w:autoSpaceDE w:val="0"/>
        <w:autoSpaceDN w:val="0"/>
        <w:adjustRightInd w:val="0"/>
        <w:jc w:val="both"/>
        <w:rPr>
          <w:rFonts w:ascii="Arial" w:hAnsi="Arial" w:cs="Arial"/>
          <w:b/>
          <w:sz w:val="20"/>
          <w:szCs w:val="20"/>
        </w:rPr>
      </w:pPr>
    </w:p>
    <w:p w:rsidR="00804520" w:rsidRDefault="00E9357F" w:rsidP="00804520">
      <w:pPr>
        <w:autoSpaceDE w:val="0"/>
        <w:autoSpaceDN w:val="0"/>
        <w:adjustRightInd w:val="0"/>
        <w:jc w:val="both"/>
        <w:rPr>
          <w:rFonts w:ascii="Arial" w:hAnsi="Arial" w:cs="Arial"/>
          <w:b/>
          <w:sz w:val="20"/>
          <w:szCs w:val="20"/>
        </w:rPr>
      </w:pPr>
      <w:r>
        <w:rPr>
          <w:rFonts w:ascii="Arial" w:hAnsi="Arial" w:cs="Arial"/>
          <w:b/>
          <w:noProof/>
          <w:sz w:val="20"/>
          <w:szCs w:val="20"/>
          <w:lang w:eastAsia="es-PE"/>
        </w:rPr>
        <w:lastRenderedPageBreak/>
        <w:drawing>
          <wp:inline distT="0" distB="0" distL="0" distR="0">
            <wp:extent cx="4667250" cy="32805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3280546"/>
                    </a:xfrm>
                    <a:prstGeom prst="rect">
                      <a:avLst/>
                    </a:prstGeom>
                    <a:noFill/>
                    <a:ln>
                      <a:noFill/>
                    </a:ln>
                  </pic:spPr>
                </pic:pic>
              </a:graphicData>
            </a:graphic>
          </wp:inline>
        </w:drawing>
      </w:r>
    </w:p>
    <w:p w:rsidR="00E9357F" w:rsidRDefault="00E9357F" w:rsidP="00804520">
      <w:pPr>
        <w:autoSpaceDE w:val="0"/>
        <w:autoSpaceDN w:val="0"/>
        <w:adjustRightInd w:val="0"/>
        <w:jc w:val="both"/>
        <w:rPr>
          <w:rFonts w:ascii="Arial" w:hAnsi="Arial" w:cs="Arial"/>
          <w:sz w:val="20"/>
          <w:szCs w:val="20"/>
          <w:highlight w:val="yellow"/>
        </w:rPr>
      </w:pPr>
    </w:p>
    <w:p w:rsidR="00E9357F" w:rsidRDefault="00E9357F" w:rsidP="00804520">
      <w:pPr>
        <w:autoSpaceDE w:val="0"/>
        <w:autoSpaceDN w:val="0"/>
        <w:adjustRightInd w:val="0"/>
        <w:jc w:val="both"/>
        <w:rPr>
          <w:rFonts w:ascii="Arial" w:hAnsi="Arial" w:cs="Arial"/>
          <w:sz w:val="20"/>
          <w:szCs w:val="20"/>
        </w:rPr>
      </w:pPr>
      <w:r w:rsidRPr="00E9357F">
        <w:rPr>
          <w:rFonts w:ascii="Arial" w:hAnsi="Arial" w:cs="Arial"/>
          <w:sz w:val="20"/>
          <w:szCs w:val="20"/>
          <w:highlight w:val="yellow"/>
        </w:rPr>
        <w:t>Costa rural, selva rural</w:t>
      </w: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r>
        <w:rPr>
          <w:rFonts w:ascii="Arial" w:hAnsi="Arial" w:cs="Arial"/>
          <w:noProof/>
          <w:sz w:val="20"/>
          <w:szCs w:val="20"/>
          <w:lang w:eastAsia="es-PE"/>
        </w:rPr>
        <w:lastRenderedPageBreak/>
        <w:drawing>
          <wp:inline distT="0" distB="0" distL="0" distR="0">
            <wp:extent cx="5486400" cy="5238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238750"/>
                    </a:xfrm>
                    <a:prstGeom prst="rect">
                      <a:avLst/>
                    </a:prstGeom>
                    <a:noFill/>
                    <a:ln>
                      <a:noFill/>
                    </a:ln>
                  </pic:spPr>
                </pic:pic>
              </a:graphicData>
            </a:graphic>
          </wp:inline>
        </w:drawing>
      </w: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p>
    <w:p w:rsidR="00E9357F" w:rsidRDefault="00E9357F" w:rsidP="00804520">
      <w:pPr>
        <w:autoSpaceDE w:val="0"/>
        <w:autoSpaceDN w:val="0"/>
        <w:adjustRightInd w:val="0"/>
        <w:jc w:val="both"/>
        <w:rPr>
          <w:rFonts w:ascii="Arial" w:hAnsi="Arial" w:cs="Arial"/>
          <w:sz w:val="20"/>
          <w:szCs w:val="20"/>
        </w:rPr>
      </w:pPr>
      <w:r>
        <w:rPr>
          <w:rFonts w:ascii="Arial" w:hAnsi="Arial" w:cs="Arial"/>
          <w:noProof/>
          <w:sz w:val="20"/>
          <w:szCs w:val="20"/>
          <w:lang w:eastAsia="es-PE"/>
        </w:rPr>
        <w:lastRenderedPageBreak/>
        <w:drawing>
          <wp:anchor distT="0" distB="0" distL="114300" distR="114300" simplePos="0" relativeHeight="251659264" behindDoc="0" locked="0" layoutInCell="1" allowOverlap="1">
            <wp:simplePos x="0" y="0"/>
            <wp:positionH relativeFrom="column">
              <wp:posOffset>253365</wp:posOffset>
            </wp:positionH>
            <wp:positionV relativeFrom="paragraph">
              <wp:posOffset>-394970</wp:posOffset>
            </wp:positionV>
            <wp:extent cx="4331335" cy="31623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1335"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5B4E30" w:rsidRDefault="005B4E30" w:rsidP="00E9357F">
      <w:pPr>
        <w:autoSpaceDE w:val="0"/>
        <w:autoSpaceDN w:val="0"/>
        <w:adjustRightInd w:val="0"/>
        <w:jc w:val="both"/>
        <w:rPr>
          <w:rFonts w:ascii="Arial" w:hAnsi="Arial" w:cs="Arial"/>
          <w:b/>
          <w:sz w:val="20"/>
          <w:szCs w:val="20"/>
        </w:rPr>
      </w:pPr>
    </w:p>
    <w:p w:rsidR="00E9357F" w:rsidRPr="00E9357F" w:rsidRDefault="00E9357F" w:rsidP="00E9357F">
      <w:pPr>
        <w:autoSpaceDE w:val="0"/>
        <w:autoSpaceDN w:val="0"/>
        <w:adjustRightInd w:val="0"/>
        <w:jc w:val="both"/>
        <w:rPr>
          <w:rFonts w:ascii="Arial" w:hAnsi="Arial" w:cs="Arial"/>
          <w:b/>
          <w:sz w:val="20"/>
          <w:szCs w:val="20"/>
        </w:rPr>
      </w:pPr>
      <w:r w:rsidRPr="00E9357F">
        <w:rPr>
          <w:rFonts w:ascii="Arial" w:hAnsi="Arial" w:cs="Arial"/>
          <w:b/>
          <w:sz w:val="20"/>
          <w:szCs w:val="20"/>
        </w:rPr>
        <w:t>Brecha de la pobreza (FGT1)</w:t>
      </w:r>
    </w:p>
    <w:p w:rsidR="00E9357F" w:rsidRPr="00E9357F" w:rsidRDefault="00E9357F" w:rsidP="00E9357F">
      <w:pPr>
        <w:pStyle w:val="Prrafodelista"/>
        <w:numPr>
          <w:ilvl w:val="0"/>
          <w:numId w:val="2"/>
        </w:numPr>
        <w:autoSpaceDE w:val="0"/>
        <w:autoSpaceDN w:val="0"/>
        <w:adjustRightInd w:val="0"/>
        <w:ind w:left="426"/>
        <w:jc w:val="both"/>
        <w:rPr>
          <w:rFonts w:ascii="Arial" w:hAnsi="Arial" w:cs="Arial"/>
          <w:sz w:val="20"/>
          <w:szCs w:val="20"/>
        </w:rPr>
      </w:pPr>
      <w:r w:rsidRPr="00E9357F">
        <w:rPr>
          <w:rFonts w:ascii="Arial" w:hAnsi="Arial" w:cs="Arial"/>
          <w:sz w:val="20"/>
          <w:szCs w:val="20"/>
        </w:rPr>
        <w:t>Este indicador que refleja el grado de concentración del gasto entre los pobres, trata de establecer qué tan pobres son los pobres y se expresa como la diferencia promedio (en términos porcentuales) que existe entre el gasto total per cápita de cada uno de las personas en situación de pobreza, respecto al valor de la línea de pobreza.</w:t>
      </w:r>
    </w:p>
    <w:p w:rsidR="00E9357F" w:rsidRPr="00E9357F" w:rsidRDefault="00E9357F" w:rsidP="00E9357F">
      <w:pPr>
        <w:pStyle w:val="Prrafodelista"/>
        <w:numPr>
          <w:ilvl w:val="0"/>
          <w:numId w:val="2"/>
        </w:numPr>
        <w:autoSpaceDE w:val="0"/>
        <w:autoSpaceDN w:val="0"/>
        <w:adjustRightInd w:val="0"/>
        <w:ind w:left="426"/>
        <w:jc w:val="both"/>
        <w:rPr>
          <w:rFonts w:ascii="FuturaBT-Light" w:hAnsi="FuturaBT-Light" w:cs="FuturaBT-Light"/>
          <w:color w:val="231F20"/>
          <w:sz w:val="20"/>
          <w:szCs w:val="20"/>
        </w:rPr>
      </w:pPr>
      <w:r w:rsidRPr="00E9357F">
        <w:rPr>
          <w:rFonts w:ascii="Arial" w:hAnsi="Arial" w:cs="Arial"/>
          <w:sz w:val="20"/>
          <w:szCs w:val="20"/>
        </w:rPr>
        <w:t>2010: brecha promedio de los gastos de los hogares pobres respecto al costo de la canasta básica de consumo fue de 8,8%.</w:t>
      </w:r>
    </w:p>
    <w:p w:rsidR="00E9357F" w:rsidRPr="00E9357F" w:rsidRDefault="00E9357F" w:rsidP="00E9357F">
      <w:pPr>
        <w:pStyle w:val="Prrafodelista"/>
        <w:numPr>
          <w:ilvl w:val="0"/>
          <w:numId w:val="2"/>
        </w:numPr>
        <w:autoSpaceDE w:val="0"/>
        <w:autoSpaceDN w:val="0"/>
        <w:adjustRightInd w:val="0"/>
        <w:ind w:left="426"/>
        <w:jc w:val="both"/>
        <w:rPr>
          <w:rFonts w:ascii="Arial" w:hAnsi="Arial" w:cs="Arial"/>
          <w:sz w:val="20"/>
          <w:szCs w:val="20"/>
        </w:rPr>
      </w:pPr>
      <w:r w:rsidRPr="00E9357F">
        <w:rPr>
          <w:rFonts w:ascii="FuturaBT-Light" w:hAnsi="FuturaBT-Light" w:cs="FuturaBT-Light"/>
          <w:color w:val="231F20"/>
          <w:sz w:val="20"/>
          <w:szCs w:val="20"/>
        </w:rPr>
        <w:t>2010, en nueve departamentos la brecha promedio de los gastos de los hogares pobres respecto al costo de la canasta básica de consumo supera el</w:t>
      </w:r>
      <w:r>
        <w:rPr>
          <w:rFonts w:ascii="FuturaBT-Light" w:hAnsi="FuturaBT-Light" w:cs="FuturaBT-Light"/>
          <w:color w:val="231F20"/>
          <w:sz w:val="20"/>
          <w:szCs w:val="20"/>
        </w:rPr>
        <w:t xml:space="preserve"> 15%</w:t>
      </w:r>
    </w:p>
    <w:p w:rsidR="00E9357F" w:rsidRPr="00E9357F" w:rsidRDefault="00E9357F" w:rsidP="00E9357F">
      <w:pPr>
        <w:autoSpaceDE w:val="0"/>
        <w:autoSpaceDN w:val="0"/>
        <w:adjustRightInd w:val="0"/>
        <w:ind w:left="66"/>
        <w:jc w:val="both"/>
        <w:rPr>
          <w:rFonts w:ascii="Arial" w:hAnsi="Arial" w:cs="Arial"/>
          <w:b/>
          <w:sz w:val="20"/>
          <w:szCs w:val="20"/>
        </w:rPr>
      </w:pPr>
      <w:r w:rsidRPr="00E9357F">
        <w:rPr>
          <w:rFonts w:ascii="Arial" w:hAnsi="Arial" w:cs="Arial"/>
          <w:b/>
          <w:sz w:val="20"/>
          <w:szCs w:val="20"/>
        </w:rPr>
        <w:t>Severidad de la pobreza (FGT2)</w:t>
      </w:r>
    </w:p>
    <w:p w:rsidR="00E9357F" w:rsidRDefault="00E9357F" w:rsidP="00E9357F">
      <w:pPr>
        <w:pStyle w:val="Prrafodelista"/>
        <w:numPr>
          <w:ilvl w:val="0"/>
          <w:numId w:val="2"/>
        </w:numPr>
        <w:autoSpaceDE w:val="0"/>
        <w:autoSpaceDN w:val="0"/>
        <w:adjustRightInd w:val="0"/>
        <w:ind w:left="426"/>
        <w:jc w:val="both"/>
        <w:rPr>
          <w:rFonts w:ascii="Arial" w:hAnsi="Arial" w:cs="Arial"/>
          <w:sz w:val="20"/>
          <w:szCs w:val="20"/>
        </w:rPr>
      </w:pPr>
      <w:r w:rsidRPr="00E9357F">
        <w:rPr>
          <w:rFonts w:ascii="Arial" w:hAnsi="Arial" w:cs="Arial"/>
          <w:sz w:val="20"/>
          <w:szCs w:val="20"/>
        </w:rPr>
        <w:t>Este indicador expresa la severidad o desigualdad de la pobreza entre los grupos poblacionales que integran cada ámbito de estudio. Indica que cuanto más alto es el valor existe mayor severidad o desigualdad entre los pobres.</w:t>
      </w:r>
    </w:p>
    <w:p w:rsidR="00E9357F" w:rsidRDefault="00E9357F" w:rsidP="00E9357F">
      <w:pPr>
        <w:pStyle w:val="Prrafodelista"/>
        <w:numPr>
          <w:ilvl w:val="0"/>
          <w:numId w:val="2"/>
        </w:numPr>
        <w:autoSpaceDE w:val="0"/>
        <w:autoSpaceDN w:val="0"/>
        <w:adjustRightInd w:val="0"/>
        <w:ind w:left="426"/>
        <w:jc w:val="both"/>
        <w:rPr>
          <w:rFonts w:ascii="Arial" w:hAnsi="Arial" w:cs="Arial"/>
          <w:sz w:val="20"/>
          <w:szCs w:val="20"/>
        </w:rPr>
      </w:pPr>
      <w:r w:rsidRPr="00E9357F">
        <w:rPr>
          <w:rFonts w:ascii="Arial" w:hAnsi="Arial" w:cs="Arial"/>
          <w:sz w:val="20"/>
          <w:szCs w:val="20"/>
        </w:rPr>
        <w:t>2010</w:t>
      </w:r>
      <w:r w:rsidR="00D66923">
        <w:rPr>
          <w:rFonts w:ascii="Arial" w:hAnsi="Arial" w:cs="Arial"/>
          <w:sz w:val="20"/>
          <w:szCs w:val="20"/>
        </w:rPr>
        <w:t xml:space="preserve">: </w:t>
      </w:r>
      <w:r w:rsidRPr="00E9357F">
        <w:rPr>
          <w:rFonts w:ascii="Arial" w:hAnsi="Arial" w:cs="Arial"/>
          <w:sz w:val="20"/>
          <w:szCs w:val="20"/>
        </w:rPr>
        <w:t>la severidad de la pobreza fue</w:t>
      </w:r>
      <w:r w:rsidR="00D66923">
        <w:rPr>
          <w:rFonts w:ascii="Arial" w:hAnsi="Arial" w:cs="Arial"/>
          <w:sz w:val="20"/>
          <w:szCs w:val="20"/>
        </w:rPr>
        <w:t xml:space="preserve"> de 3,5%</w:t>
      </w:r>
    </w:p>
    <w:p w:rsidR="005B4E30" w:rsidRDefault="005B4E30" w:rsidP="00D66923">
      <w:pPr>
        <w:autoSpaceDE w:val="0"/>
        <w:autoSpaceDN w:val="0"/>
        <w:adjustRightInd w:val="0"/>
        <w:jc w:val="both"/>
        <w:rPr>
          <w:rFonts w:ascii="Arial" w:hAnsi="Arial" w:cs="Arial"/>
          <w:b/>
          <w:sz w:val="20"/>
          <w:szCs w:val="20"/>
        </w:rPr>
      </w:pPr>
      <w:r>
        <w:rPr>
          <w:rFonts w:ascii="Arial" w:hAnsi="Arial" w:cs="Arial"/>
          <w:b/>
          <w:noProof/>
          <w:sz w:val="20"/>
          <w:szCs w:val="20"/>
          <w:lang w:eastAsia="es-PE"/>
        </w:rPr>
        <w:drawing>
          <wp:anchor distT="0" distB="0" distL="114300" distR="114300" simplePos="0" relativeHeight="251660288" behindDoc="0" locked="0" layoutInCell="1" allowOverlap="1" wp14:anchorId="32FED8AE" wp14:editId="75CB6160">
            <wp:simplePos x="0" y="0"/>
            <wp:positionH relativeFrom="column">
              <wp:posOffset>1939290</wp:posOffset>
            </wp:positionH>
            <wp:positionV relativeFrom="paragraph">
              <wp:posOffset>424815</wp:posOffset>
            </wp:positionV>
            <wp:extent cx="2724150" cy="328422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3284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57F" w:rsidRDefault="00D66923" w:rsidP="00D66923">
      <w:pPr>
        <w:autoSpaceDE w:val="0"/>
        <w:autoSpaceDN w:val="0"/>
        <w:adjustRightInd w:val="0"/>
        <w:jc w:val="both"/>
        <w:rPr>
          <w:rFonts w:ascii="Arial" w:hAnsi="Arial" w:cs="Arial"/>
          <w:b/>
          <w:sz w:val="20"/>
          <w:szCs w:val="20"/>
        </w:rPr>
      </w:pPr>
      <w:r w:rsidRPr="00D66923">
        <w:rPr>
          <w:rFonts w:ascii="Arial" w:hAnsi="Arial" w:cs="Arial"/>
          <w:b/>
          <w:sz w:val="20"/>
          <w:szCs w:val="20"/>
        </w:rPr>
        <w:t xml:space="preserve">T </w:t>
      </w:r>
      <w:proofErr w:type="spellStart"/>
      <w:r w:rsidRPr="00D66923">
        <w:rPr>
          <w:rFonts w:ascii="Arial" w:hAnsi="Arial" w:cs="Arial"/>
          <w:b/>
          <w:sz w:val="20"/>
          <w:szCs w:val="20"/>
        </w:rPr>
        <w:t>student</w:t>
      </w:r>
      <w:proofErr w:type="spellEnd"/>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D66923" w:rsidP="00D66923">
      <w:pPr>
        <w:autoSpaceDE w:val="0"/>
        <w:autoSpaceDN w:val="0"/>
        <w:adjustRightInd w:val="0"/>
        <w:jc w:val="both"/>
        <w:rPr>
          <w:rFonts w:ascii="Arial" w:hAnsi="Arial" w:cs="Arial"/>
          <w:b/>
          <w:sz w:val="20"/>
          <w:szCs w:val="20"/>
        </w:rPr>
      </w:pPr>
    </w:p>
    <w:p w:rsidR="00D66923" w:rsidRDefault="00923518" w:rsidP="00D66923">
      <w:pPr>
        <w:autoSpaceDE w:val="0"/>
        <w:autoSpaceDN w:val="0"/>
        <w:adjustRightInd w:val="0"/>
        <w:jc w:val="both"/>
        <w:rPr>
          <w:rFonts w:ascii="Arial" w:hAnsi="Arial" w:cs="Arial"/>
          <w:b/>
          <w:sz w:val="20"/>
          <w:szCs w:val="20"/>
        </w:rPr>
      </w:pPr>
      <w:r>
        <w:rPr>
          <w:rFonts w:ascii="Arial" w:hAnsi="Arial" w:cs="Arial"/>
          <w:b/>
          <w:sz w:val="20"/>
          <w:szCs w:val="20"/>
        </w:rPr>
        <w:lastRenderedPageBreak/>
        <w:t>Perfil de pobreza</w:t>
      </w:r>
    </w:p>
    <w:p w:rsidR="00923518" w:rsidRDefault="00923518" w:rsidP="00923518">
      <w:pPr>
        <w:pStyle w:val="Prrafodelista"/>
        <w:numPr>
          <w:ilvl w:val="0"/>
          <w:numId w:val="2"/>
        </w:numPr>
        <w:autoSpaceDE w:val="0"/>
        <w:autoSpaceDN w:val="0"/>
        <w:adjustRightInd w:val="0"/>
        <w:ind w:left="426"/>
        <w:jc w:val="both"/>
        <w:rPr>
          <w:rFonts w:ascii="FuturaBT-Light" w:hAnsi="FuturaBT-Light" w:cs="FuturaBT-Light"/>
          <w:color w:val="231F20"/>
          <w:sz w:val="20"/>
          <w:szCs w:val="20"/>
        </w:rPr>
      </w:pPr>
      <w:r w:rsidRPr="00923518">
        <w:rPr>
          <w:rFonts w:ascii="FuturaBT-Light" w:hAnsi="FuturaBT-Light" w:cs="FuturaBT-Light"/>
          <w:b/>
          <w:color w:val="231F20"/>
          <w:sz w:val="20"/>
          <w:szCs w:val="20"/>
        </w:rPr>
        <w:t>Pobreza y edad:</w:t>
      </w:r>
      <w:r>
        <w:rPr>
          <w:rFonts w:ascii="FuturaBT-Light" w:hAnsi="FuturaBT-Light" w:cs="FuturaBT-Light"/>
          <w:color w:val="231F20"/>
          <w:sz w:val="20"/>
          <w:szCs w:val="20"/>
        </w:rPr>
        <w:t xml:space="preserve"> </w:t>
      </w:r>
      <w:r w:rsidRPr="00923518">
        <w:rPr>
          <w:rFonts w:ascii="FuturaBT-Light" w:hAnsi="FuturaBT-Light" w:cs="FuturaBT-Light"/>
          <w:color w:val="231F20"/>
          <w:sz w:val="20"/>
          <w:szCs w:val="20"/>
        </w:rPr>
        <w:t>se observa que esta afecta en mayor proporción a los niños/as y a los/las adolescentes. Debido a que los hogares en condición de pobreza tienen entre sus integrantes más niños/as y/o adolescentes. Así, en el 2010 la pobreza afectó al 43,3% de  los/las niños/as menores de cinco años.</w:t>
      </w:r>
      <w:r>
        <w:rPr>
          <w:rFonts w:ascii="FuturaBT-Light" w:hAnsi="FuturaBT-Light" w:cs="FuturaBT-Light"/>
          <w:color w:val="231F20"/>
          <w:sz w:val="20"/>
          <w:szCs w:val="20"/>
        </w:rPr>
        <w:t xml:space="preserve"> </w:t>
      </w:r>
    </w:p>
    <w:p w:rsidR="00923518" w:rsidRPr="00923518" w:rsidRDefault="00923518" w:rsidP="00923518">
      <w:pPr>
        <w:pStyle w:val="Prrafodelista"/>
        <w:numPr>
          <w:ilvl w:val="0"/>
          <w:numId w:val="2"/>
        </w:numPr>
        <w:autoSpaceDE w:val="0"/>
        <w:autoSpaceDN w:val="0"/>
        <w:adjustRightInd w:val="0"/>
        <w:ind w:left="426" w:hanging="426"/>
        <w:jc w:val="both"/>
        <w:rPr>
          <w:rFonts w:ascii="Arial" w:hAnsi="Arial" w:cs="Arial"/>
          <w:sz w:val="20"/>
          <w:szCs w:val="20"/>
        </w:rPr>
      </w:pPr>
      <w:r w:rsidRPr="00923518">
        <w:rPr>
          <w:rFonts w:ascii="FuturaBT-Light" w:hAnsi="FuturaBT-Light" w:cs="FuturaBT-Light"/>
          <w:b/>
          <w:color w:val="231F20"/>
          <w:sz w:val="20"/>
          <w:szCs w:val="20"/>
        </w:rPr>
        <w:t>Pobreza y etnia</w:t>
      </w:r>
      <w:r w:rsidRPr="00923518">
        <w:rPr>
          <w:rFonts w:ascii="FuturaBT-Light" w:hAnsi="FuturaBT-Light" w:cs="FuturaBT-Light"/>
          <w:color w:val="231F20"/>
          <w:sz w:val="20"/>
          <w:szCs w:val="20"/>
        </w:rPr>
        <w:t xml:space="preserve">: En el 2010, la pobreza afectó al 51,8% (21,7% pobre extremo y 30,1% pobre no extremo) de las personas que mencionaron tener como lengua materna una lengua autóctona (quechua, </w:t>
      </w:r>
      <w:proofErr w:type="spellStart"/>
      <w:r w:rsidRPr="00923518">
        <w:rPr>
          <w:rFonts w:ascii="FuturaBT-Light" w:hAnsi="FuturaBT-Light" w:cs="FuturaBT-Light"/>
          <w:color w:val="231F20"/>
          <w:sz w:val="20"/>
          <w:szCs w:val="20"/>
        </w:rPr>
        <w:t>aymara</w:t>
      </w:r>
      <w:proofErr w:type="spellEnd"/>
      <w:r w:rsidRPr="00923518">
        <w:rPr>
          <w:rFonts w:ascii="FuturaBT-Light" w:hAnsi="FuturaBT-Light" w:cs="FuturaBT-Light"/>
          <w:color w:val="231F20"/>
          <w:sz w:val="20"/>
          <w:szCs w:val="20"/>
        </w:rPr>
        <w:t xml:space="preserve"> o lengua amazónica), mientras entre los que tienen como lengua materna el castellano, la pobreza incidió en el 25,8%(6,6% pobres extremos y 19,2% pobres no extremos).</w:t>
      </w:r>
    </w:p>
    <w:p w:rsidR="00923518" w:rsidRDefault="00923518" w:rsidP="00923518">
      <w:pPr>
        <w:pStyle w:val="Prrafodelista"/>
        <w:numPr>
          <w:ilvl w:val="0"/>
          <w:numId w:val="2"/>
        </w:numPr>
        <w:autoSpaceDE w:val="0"/>
        <w:autoSpaceDN w:val="0"/>
        <w:adjustRightInd w:val="0"/>
        <w:ind w:left="426" w:hanging="426"/>
        <w:jc w:val="both"/>
        <w:rPr>
          <w:rFonts w:ascii="Arial" w:hAnsi="Arial" w:cs="Arial"/>
          <w:sz w:val="20"/>
          <w:szCs w:val="20"/>
        </w:rPr>
      </w:pPr>
      <w:r w:rsidRPr="00923518">
        <w:rPr>
          <w:rFonts w:ascii="Arial" w:hAnsi="Arial" w:cs="Arial"/>
          <w:b/>
          <w:sz w:val="20"/>
          <w:szCs w:val="20"/>
        </w:rPr>
        <w:t xml:space="preserve">Pobreza según origen étnico del jefe de hogar: </w:t>
      </w:r>
      <w:r w:rsidRPr="00923518">
        <w:rPr>
          <w:rFonts w:ascii="Arial" w:hAnsi="Arial" w:cs="Arial"/>
          <w:sz w:val="20"/>
          <w:szCs w:val="20"/>
        </w:rPr>
        <w:t xml:space="preserve">afecta en mayor medida en aquellos jefes de hogar de origen nativo (quechua, </w:t>
      </w:r>
      <w:proofErr w:type="spellStart"/>
      <w:r w:rsidRPr="00923518">
        <w:rPr>
          <w:rFonts w:ascii="Arial" w:hAnsi="Arial" w:cs="Arial"/>
          <w:sz w:val="20"/>
          <w:szCs w:val="20"/>
        </w:rPr>
        <w:t>aymara</w:t>
      </w:r>
      <w:proofErr w:type="spellEnd"/>
      <w:r w:rsidRPr="00923518">
        <w:rPr>
          <w:rFonts w:ascii="Arial" w:hAnsi="Arial" w:cs="Arial"/>
          <w:sz w:val="20"/>
          <w:szCs w:val="20"/>
        </w:rPr>
        <w:t xml:space="preserve"> u origen amazónico) con el 35,9%, le sigue los hogares con jefe de origen negro/mulato o zambo con 30,2%.</w:t>
      </w:r>
    </w:p>
    <w:p w:rsidR="00923518" w:rsidRPr="00923518" w:rsidRDefault="00923518" w:rsidP="00923518">
      <w:pPr>
        <w:pStyle w:val="Prrafodelista"/>
        <w:numPr>
          <w:ilvl w:val="0"/>
          <w:numId w:val="2"/>
        </w:numPr>
        <w:autoSpaceDE w:val="0"/>
        <w:autoSpaceDN w:val="0"/>
        <w:adjustRightInd w:val="0"/>
        <w:ind w:left="426" w:hanging="426"/>
        <w:jc w:val="both"/>
        <w:rPr>
          <w:rFonts w:ascii="Arial" w:hAnsi="Arial" w:cs="Arial"/>
          <w:sz w:val="20"/>
          <w:szCs w:val="20"/>
        </w:rPr>
      </w:pPr>
      <w:r w:rsidRPr="00923518">
        <w:rPr>
          <w:rFonts w:ascii="Arial" w:hAnsi="Arial" w:cs="Arial"/>
          <w:b/>
          <w:sz w:val="20"/>
          <w:szCs w:val="20"/>
        </w:rPr>
        <w:t>Pobreza composición demográfica en los hogares:</w:t>
      </w:r>
      <w:r w:rsidRPr="00923518">
        <w:rPr>
          <w:rFonts w:ascii="Arial" w:hAnsi="Arial" w:cs="Arial"/>
          <w:sz w:val="20"/>
          <w:szCs w:val="20"/>
        </w:rPr>
        <w:t xml:space="preserve"> En el 2010, en el 80,4% de los hogares pobres del país había al menos un niño/niña o un/una adolescente, mientras que en los hogares no pobres la proporción fue menor (59,8%).</w:t>
      </w:r>
    </w:p>
    <w:p w:rsidR="00923518" w:rsidRDefault="00923518" w:rsidP="00923518">
      <w:pPr>
        <w:autoSpaceDE w:val="0"/>
        <w:autoSpaceDN w:val="0"/>
        <w:adjustRightInd w:val="0"/>
        <w:ind w:left="66"/>
        <w:jc w:val="both"/>
        <w:rPr>
          <w:rFonts w:ascii="Arial" w:hAnsi="Arial" w:cs="Arial"/>
          <w:b/>
          <w:sz w:val="20"/>
          <w:szCs w:val="20"/>
        </w:rPr>
      </w:pPr>
    </w:p>
    <w:p w:rsidR="00923518" w:rsidRPr="00923518" w:rsidRDefault="005B4E30" w:rsidP="00923518">
      <w:pPr>
        <w:rPr>
          <w:rFonts w:ascii="Arial" w:hAnsi="Arial" w:cs="Arial"/>
          <w:sz w:val="20"/>
          <w:szCs w:val="20"/>
        </w:rPr>
      </w:pPr>
      <w:r>
        <w:rPr>
          <w:rFonts w:ascii="Arial" w:hAnsi="Arial" w:cs="Arial"/>
          <w:b/>
          <w:noProof/>
          <w:sz w:val="20"/>
          <w:szCs w:val="20"/>
          <w:lang w:eastAsia="es-PE"/>
        </w:rPr>
        <w:drawing>
          <wp:anchor distT="0" distB="0" distL="114300" distR="114300" simplePos="0" relativeHeight="251661312" behindDoc="0" locked="0" layoutInCell="1" allowOverlap="1" wp14:anchorId="5485C0B3" wp14:editId="2A3E7496">
            <wp:simplePos x="0" y="0"/>
            <wp:positionH relativeFrom="column">
              <wp:posOffset>481965</wp:posOffset>
            </wp:positionH>
            <wp:positionV relativeFrom="paragraph">
              <wp:posOffset>111760</wp:posOffset>
            </wp:positionV>
            <wp:extent cx="4467225" cy="3420110"/>
            <wp:effectExtent l="0" t="0" r="9525"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7225" cy="342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Default="00923518" w:rsidP="00923518">
      <w:pPr>
        <w:rPr>
          <w:rFonts w:ascii="Arial" w:hAnsi="Arial" w:cs="Arial"/>
          <w:sz w:val="20"/>
          <w:szCs w:val="20"/>
        </w:rPr>
      </w:pPr>
    </w:p>
    <w:p w:rsid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p>
    <w:p w:rsidR="00923518" w:rsidRPr="00923518" w:rsidRDefault="00923518" w:rsidP="00923518">
      <w:pPr>
        <w:rPr>
          <w:rFonts w:ascii="Arial" w:hAnsi="Arial" w:cs="Arial"/>
          <w:sz w:val="20"/>
          <w:szCs w:val="20"/>
        </w:rPr>
      </w:pPr>
      <w:r>
        <w:rPr>
          <w:rFonts w:ascii="Arial" w:hAnsi="Arial" w:cs="Arial"/>
          <w:noProof/>
          <w:sz w:val="20"/>
          <w:szCs w:val="20"/>
          <w:lang w:eastAsia="es-PE"/>
        </w:rPr>
        <w:lastRenderedPageBreak/>
        <w:drawing>
          <wp:anchor distT="0" distB="0" distL="114300" distR="114300" simplePos="0" relativeHeight="251662336" behindDoc="0" locked="0" layoutInCell="1" allowOverlap="1">
            <wp:simplePos x="0" y="0"/>
            <wp:positionH relativeFrom="column">
              <wp:posOffset>243840</wp:posOffset>
            </wp:positionH>
            <wp:positionV relativeFrom="paragraph">
              <wp:posOffset>-156845</wp:posOffset>
            </wp:positionV>
            <wp:extent cx="4867275" cy="3098800"/>
            <wp:effectExtent l="0" t="0" r="9525" b="635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309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518" w:rsidRDefault="00923518" w:rsidP="00923518">
      <w:pPr>
        <w:rPr>
          <w:rFonts w:ascii="Arial" w:hAnsi="Arial" w:cs="Arial"/>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5B4E30" w:rsidRDefault="005B4E30" w:rsidP="00EE45A7">
      <w:pPr>
        <w:rPr>
          <w:rFonts w:ascii="Arial" w:hAnsi="Arial" w:cs="Arial"/>
          <w:b/>
          <w:sz w:val="20"/>
          <w:szCs w:val="20"/>
        </w:rPr>
      </w:pPr>
    </w:p>
    <w:p w:rsidR="00923518" w:rsidRDefault="00EE45A7" w:rsidP="00EE45A7">
      <w:pPr>
        <w:rPr>
          <w:rFonts w:ascii="Arial" w:hAnsi="Arial" w:cs="Arial"/>
          <w:sz w:val="20"/>
          <w:szCs w:val="20"/>
        </w:rPr>
      </w:pPr>
      <w:r w:rsidRPr="00EE45A7">
        <w:rPr>
          <w:rFonts w:ascii="Arial" w:hAnsi="Arial" w:cs="Arial"/>
          <w:b/>
          <w:sz w:val="20"/>
          <w:szCs w:val="20"/>
        </w:rPr>
        <w:t xml:space="preserve">Características de los hogares: </w:t>
      </w:r>
      <w:r w:rsidRPr="00EE45A7">
        <w:rPr>
          <w:rFonts w:ascii="Arial" w:hAnsi="Arial" w:cs="Arial"/>
          <w:sz w:val="20"/>
          <w:szCs w:val="20"/>
        </w:rPr>
        <w:t>2010 el/la jefe de hogar pobre tenía</w:t>
      </w:r>
      <w:r>
        <w:rPr>
          <w:rFonts w:ascii="Arial" w:hAnsi="Arial" w:cs="Arial"/>
          <w:sz w:val="20"/>
          <w:szCs w:val="20"/>
        </w:rPr>
        <w:t xml:space="preserve"> </w:t>
      </w:r>
      <w:r w:rsidRPr="00EE45A7">
        <w:rPr>
          <w:rFonts w:ascii="Arial" w:hAnsi="Arial" w:cs="Arial"/>
          <w:sz w:val="20"/>
          <w:szCs w:val="20"/>
        </w:rPr>
        <w:t>como promedio 50,3 años teniendo 1,1 menos que un</w:t>
      </w:r>
      <w:r>
        <w:rPr>
          <w:rFonts w:ascii="Arial" w:hAnsi="Arial" w:cs="Arial"/>
          <w:sz w:val="20"/>
          <w:szCs w:val="20"/>
        </w:rPr>
        <w:t xml:space="preserve">  </w:t>
      </w:r>
      <w:r w:rsidRPr="00EE45A7">
        <w:rPr>
          <w:rFonts w:ascii="Arial" w:hAnsi="Arial" w:cs="Arial"/>
          <w:sz w:val="20"/>
          <w:szCs w:val="20"/>
        </w:rPr>
        <w:t>jefe de hogar no pobre (51,4 años).</w:t>
      </w:r>
    </w:p>
    <w:p w:rsidR="00EE45A7" w:rsidRDefault="00EE45A7" w:rsidP="00EE45A7">
      <w:pPr>
        <w:rPr>
          <w:rFonts w:ascii="Arial" w:hAnsi="Arial" w:cs="Arial"/>
          <w:sz w:val="20"/>
          <w:szCs w:val="20"/>
        </w:rPr>
      </w:pPr>
      <w:r>
        <w:rPr>
          <w:rFonts w:ascii="Arial" w:hAnsi="Arial" w:cs="Arial"/>
          <w:sz w:val="20"/>
          <w:szCs w:val="20"/>
        </w:rPr>
        <w:t xml:space="preserve">Promedio de </w:t>
      </w:r>
      <w:r w:rsidRPr="005B4E30">
        <w:rPr>
          <w:rFonts w:ascii="Arial" w:hAnsi="Arial" w:cs="Arial"/>
          <w:b/>
          <w:sz w:val="20"/>
          <w:szCs w:val="20"/>
        </w:rPr>
        <w:t>miembros por edad</w:t>
      </w:r>
      <w:r>
        <w:rPr>
          <w:rFonts w:ascii="Arial" w:hAnsi="Arial" w:cs="Arial"/>
          <w:sz w:val="20"/>
          <w:szCs w:val="20"/>
        </w:rPr>
        <w:t>: pobreza extrema, 5</w:t>
      </w:r>
    </w:p>
    <w:p w:rsidR="00EE45A7" w:rsidRDefault="00EE45A7" w:rsidP="00EE45A7">
      <w:pPr>
        <w:autoSpaceDE w:val="0"/>
        <w:autoSpaceDN w:val="0"/>
        <w:adjustRightInd w:val="0"/>
        <w:jc w:val="both"/>
        <w:rPr>
          <w:rFonts w:ascii="FuturaBT-Light" w:hAnsi="FuturaBT-Light" w:cs="FuturaBT-Light"/>
          <w:color w:val="231F20"/>
          <w:sz w:val="20"/>
          <w:szCs w:val="20"/>
        </w:rPr>
      </w:pPr>
      <w:r>
        <w:rPr>
          <w:rFonts w:ascii="Arial" w:hAnsi="Arial" w:cs="Arial"/>
          <w:b/>
          <w:noProof/>
          <w:sz w:val="20"/>
          <w:szCs w:val="20"/>
          <w:lang w:eastAsia="es-PE"/>
        </w:rPr>
        <w:drawing>
          <wp:anchor distT="0" distB="0" distL="114300" distR="114300" simplePos="0" relativeHeight="251663360" behindDoc="0" locked="0" layoutInCell="1" allowOverlap="1" wp14:anchorId="267FB72F" wp14:editId="0CA34DA2">
            <wp:simplePos x="0" y="0"/>
            <wp:positionH relativeFrom="column">
              <wp:posOffset>196215</wp:posOffset>
            </wp:positionH>
            <wp:positionV relativeFrom="paragraph">
              <wp:posOffset>871855</wp:posOffset>
            </wp:positionV>
            <wp:extent cx="5610225" cy="3848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84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5A7">
        <w:rPr>
          <w:rFonts w:ascii="Arial" w:hAnsi="Arial" w:cs="Arial"/>
          <w:b/>
          <w:sz w:val="20"/>
          <w:szCs w:val="20"/>
        </w:rPr>
        <w:t>Nivel de educación alcanzado</w:t>
      </w:r>
      <w:r>
        <w:rPr>
          <w:rFonts w:ascii="Arial" w:hAnsi="Arial" w:cs="Arial"/>
          <w:b/>
          <w:sz w:val="20"/>
          <w:szCs w:val="20"/>
        </w:rPr>
        <w:t xml:space="preserve">: </w:t>
      </w:r>
      <w:r>
        <w:rPr>
          <w:rFonts w:ascii="FuturaBT-Light" w:hAnsi="FuturaBT-Light" w:cs="FuturaBT-Light"/>
          <w:color w:val="231F20"/>
          <w:sz w:val="20"/>
          <w:szCs w:val="20"/>
        </w:rPr>
        <w:t>2010, una de las características de la población en situación de pobreza es presentar menor capital educativo que la población no pobre. Así, mientras que el 56,0% de los pobres y el 70,8% de los pobres extremos mayores de 15 años de edad, solamente lograron estudiar algún año de educación primaria o no tienen educación, los no pobres con este nivel educativo es el 25,5%.</w:t>
      </w: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Arial" w:hAnsi="Arial" w:cs="Arial"/>
          <w:b/>
          <w:sz w:val="20"/>
          <w:szCs w:val="20"/>
        </w:rPr>
      </w:pPr>
    </w:p>
    <w:p w:rsidR="00EE45A7" w:rsidRPr="00EE45A7" w:rsidRDefault="00EE45A7" w:rsidP="005B4E30">
      <w:pPr>
        <w:autoSpaceDE w:val="0"/>
        <w:autoSpaceDN w:val="0"/>
        <w:adjustRightInd w:val="0"/>
        <w:ind w:left="708"/>
        <w:jc w:val="both"/>
        <w:rPr>
          <w:rFonts w:ascii="Arial" w:hAnsi="Arial" w:cs="Arial"/>
          <w:b/>
          <w:sz w:val="20"/>
          <w:szCs w:val="20"/>
        </w:rPr>
      </w:pPr>
      <w:bookmarkStart w:id="0" w:name="_GoBack"/>
      <w:r>
        <w:rPr>
          <w:rFonts w:ascii="Arial" w:hAnsi="Arial" w:cs="Arial"/>
          <w:b/>
          <w:noProof/>
          <w:sz w:val="20"/>
          <w:szCs w:val="20"/>
          <w:lang w:eastAsia="es-PE"/>
        </w:rPr>
        <w:drawing>
          <wp:inline distT="0" distB="0" distL="0" distR="0">
            <wp:extent cx="4800600" cy="3496532"/>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2025" cy="3497570"/>
                    </a:xfrm>
                    <a:prstGeom prst="rect">
                      <a:avLst/>
                    </a:prstGeom>
                    <a:noFill/>
                    <a:ln>
                      <a:noFill/>
                    </a:ln>
                  </pic:spPr>
                </pic:pic>
              </a:graphicData>
            </a:graphic>
          </wp:inline>
        </w:drawing>
      </w:r>
      <w:bookmarkEnd w:id="0"/>
    </w:p>
    <w:p w:rsidR="00923518" w:rsidRDefault="00923518" w:rsidP="00923518">
      <w:pPr>
        <w:rPr>
          <w:rFonts w:ascii="Arial" w:hAnsi="Arial" w:cs="Arial"/>
          <w:sz w:val="20"/>
          <w:szCs w:val="20"/>
        </w:rPr>
      </w:pPr>
    </w:p>
    <w:p w:rsidR="00EE45A7" w:rsidRDefault="00EE45A7" w:rsidP="00EE45A7">
      <w:pPr>
        <w:autoSpaceDE w:val="0"/>
        <w:autoSpaceDN w:val="0"/>
        <w:adjustRightInd w:val="0"/>
        <w:jc w:val="both"/>
        <w:rPr>
          <w:rFonts w:ascii="Arial" w:hAnsi="Arial" w:cs="Arial"/>
          <w:sz w:val="20"/>
          <w:szCs w:val="20"/>
        </w:rPr>
      </w:pPr>
      <w:r w:rsidRPr="00EE45A7">
        <w:rPr>
          <w:rFonts w:ascii="Arial" w:hAnsi="Arial" w:cs="Arial"/>
          <w:b/>
          <w:sz w:val="20"/>
          <w:szCs w:val="20"/>
        </w:rPr>
        <w:t>Acceso a seguro de salud:</w:t>
      </w:r>
      <w:r>
        <w:rPr>
          <w:rFonts w:ascii="Arial" w:hAnsi="Arial" w:cs="Arial"/>
          <w:sz w:val="20"/>
          <w:szCs w:val="20"/>
        </w:rPr>
        <w:t xml:space="preserve"> </w:t>
      </w:r>
      <w:r>
        <w:rPr>
          <w:rFonts w:ascii="FuturaBT-Light" w:hAnsi="FuturaBT-Light" w:cs="FuturaBT-Light"/>
          <w:color w:val="231F20"/>
          <w:sz w:val="20"/>
          <w:szCs w:val="20"/>
        </w:rPr>
        <w:t>2010, la población pobre y pobre extrema que cuenta con seguro de salud fue elevada, alcanzando la cobertura de 71,6% y 80,0%, respectivamente. Los no pobres que tienen seguro de salud es el 61,3%.</w:t>
      </w:r>
    </w:p>
    <w:p w:rsidR="00923518" w:rsidRDefault="00EE45A7" w:rsidP="00EE45A7">
      <w:pPr>
        <w:autoSpaceDE w:val="0"/>
        <w:autoSpaceDN w:val="0"/>
        <w:adjustRightInd w:val="0"/>
        <w:rPr>
          <w:rFonts w:ascii="FuturaBT-Light" w:hAnsi="FuturaBT-Light" w:cs="FuturaBT-Light"/>
          <w:color w:val="231F20"/>
          <w:sz w:val="20"/>
          <w:szCs w:val="20"/>
        </w:rPr>
      </w:pPr>
      <w:r w:rsidRPr="00EE45A7">
        <w:rPr>
          <w:rFonts w:ascii="Arial" w:hAnsi="Arial" w:cs="Arial"/>
          <w:b/>
          <w:sz w:val="20"/>
          <w:szCs w:val="20"/>
        </w:rPr>
        <w:t>Part</w:t>
      </w:r>
      <w:r>
        <w:rPr>
          <w:rFonts w:ascii="Arial" w:hAnsi="Arial" w:cs="Arial"/>
          <w:b/>
          <w:sz w:val="20"/>
          <w:szCs w:val="20"/>
        </w:rPr>
        <w:t xml:space="preserve">icipación en actividad económica: </w:t>
      </w:r>
      <w:r>
        <w:rPr>
          <w:rFonts w:ascii="FuturaBT-Light" w:hAnsi="FuturaBT-Light" w:cs="FuturaBT-Light"/>
          <w:color w:val="231F20"/>
          <w:sz w:val="20"/>
          <w:szCs w:val="20"/>
        </w:rPr>
        <w:t>La tasa de participación es el indicador más visible que muestra cuál es la oferta y la disponibilidad de fuerza de trabajo existente en el país.</w:t>
      </w:r>
    </w:p>
    <w:p w:rsidR="00EE45A7" w:rsidRDefault="00EE45A7" w:rsidP="00EE45A7">
      <w:pPr>
        <w:autoSpaceDE w:val="0"/>
        <w:autoSpaceDN w:val="0"/>
        <w:adjustRightInd w:val="0"/>
        <w:jc w:val="both"/>
        <w:rPr>
          <w:rFonts w:ascii="FuturaBT-Light" w:hAnsi="FuturaBT-Light" w:cs="FuturaBT-Light"/>
          <w:color w:val="231F20"/>
          <w:sz w:val="20"/>
          <w:szCs w:val="20"/>
        </w:rPr>
      </w:pPr>
      <w:r w:rsidRPr="00EE45A7">
        <w:rPr>
          <w:rFonts w:ascii="FuturaBT-Bold" w:hAnsi="FuturaBT-Bold" w:cs="FuturaBT-Bold"/>
          <w:b/>
          <w:bCs/>
          <w:sz w:val="20"/>
          <w:szCs w:val="20"/>
        </w:rPr>
        <w:t>Participación en la actividad económica</w:t>
      </w:r>
      <w:r>
        <w:rPr>
          <w:rFonts w:ascii="FuturaBT-Bold" w:hAnsi="FuturaBT-Bold" w:cs="FuturaBT-Bold"/>
          <w:b/>
          <w:bCs/>
          <w:sz w:val="20"/>
          <w:szCs w:val="20"/>
        </w:rPr>
        <w:t xml:space="preserve"> </w:t>
      </w:r>
      <w:r w:rsidRPr="00EE45A7">
        <w:rPr>
          <w:rFonts w:ascii="FuturaBT-Bold" w:hAnsi="FuturaBT-Bold" w:cs="FuturaBT-Bold"/>
          <w:b/>
          <w:bCs/>
          <w:sz w:val="20"/>
          <w:szCs w:val="20"/>
        </w:rPr>
        <w:t>según ramas de actividad</w:t>
      </w:r>
      <w:r>
        <w:rPr>
          <w:rFonts w:ascii="FuturaBT-Bold" w:hAnsi="FuturaBT-Bold" w:cs="FuturaBT-Bold"/>
          <w:b/>
          <w:bCs/>
          <w:sz w:val="20"/>
          <w:szCs w:val="20"/>
        </w:rPr>
        <w:t xml:space="preserve">: </w:t>
      </w:r>
      <w:r>
        <w:rPr>
          <w:rFonts w:ascii="FuturaBT-Light" w:hAnsi="FuturaBT-Light" w:cs="FuturaBT-Light"/>
          <w:color w:val="231F20"/>
          <w:sz w:val="20"/>
          <w:szCs w:val="20"/>
        </w:rPr>
        <w:t>Los datos obtenidos al año 2010 dan cuenta que la mayoría (60,4%) de la PEA ocupada pobre se encuentran realizando actividades relacionadas a la agricultura, pesca y minería, este porcentaje asciende a 80,1% en la PEA pobre extrema; mientras que la PEA no pobre que labora en esta actividad es el 21,9%.</w:t>
      </w: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r>
        <w:rPr>
          <w:rFonts w:ascii="FuturaBT-Light" w:hAnsi="FuturaBT-Light" w:cs="FuturaBT-Light"/>
          <w:noProof/>
          <w:color w:val="231F20"/>
          <w:sz w:val="20"/>
          <w:szCs w:val="20"/>
          <w:lang w:eastAsia="es-PE"/>
        </w:rPr>
        <w:lastRenderedPageBreak/>
        <w:drawing>
          <wp:inline distT="0" distB="0" distL="0" distR="0">
            <wp:extent cx="5610225" cy="49244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4924425"/>
                    </a:xfrm>
                    <a:prstGeom prst="rect">
                      <a:avLst/>
                    </a:prstGeom>
                    <a:noFill/>
                    <a:ln>
                      <a:noFill/>
                    </a:ln>
                  </pic:spPr>
                </pic:pic>
              </a:graphicData>
            </a:graphic>
          </wp:inline>
        </w:drawing>
      </w: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Default="00EE45A7" w:rsidP="00EE45A7">
      <w:pPr>
        <w:autoSpaceDE w:val="0"/>
        <w:autoSpaceDN w:val="0"/>
        <w:adjustRightInd w:val="0"/>
        <w:jc w:val="both"/>
        <w:rPr>
          <w:rFonts w:ascii="FuturaBT-Light" w:hAnsi="FuturaBT-Light" w:cs="FuturaBT-Light"/>
          <w:color w:val="231F20"/>
          <w:sz w:val="20"/>
          <w:szCs w:val="20"/>
        </w:rPr>
      </w:pPr>
    </w:p>
    <w:p w:rsidR="00EE45A7" w:rsidRPr="00EE45A7" w:rsidRDefault="00EE45A7" w:rsidP="00EE45A7">
      <w:pPr>
        <w:autoSpaceDE w:val="0"/>
        <w:autoSpaceDN w:val="0"/>
        <w:adjustRightInd w:val="0"/>
        <w:jc w:val="both"/>
        <w:rPr>
          <w:rFonts w:ascii="Arial" w:hAnsi="Arial" w:cs="Arial"/>
          <w:sz w:val="20"/>
          <w:szCs w:val="20"/>
        </w:rPr>
      </w:pPr>
    </w:p>
    <w:sectPr w:rsidR="00EE45A7" w:rsidRPr="00EE45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BT-Light-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 w:name="Futura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4DFE"/>
    <w:multiLevelType w:val="hybridMultilevel"/>
    <w:tmpl w:val="41E4416C"/>
    <w:lvl w:ilvl="0" w:tplc="8C30B6FA">
      <w:numFmt w:val="bullet"/>
      <w:lvlText w:val="-"/>
      <w:lvlJc w:val="left"/>
      <w:pPr>
        <w:ind w:left="720" w:hanging="360"/>
      </w:pPr>
      <w:rPr>
        <w:rFonts w:ascii="FuturaBT-Light-Identity-H" w:eastAsiaTheme="minorHAnsi" w:hAnsi="FuturaBT-Light-Identity-H" w:cs="FuturaBT-Light-Identity-H"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54D0701D"/>
    <w:multiLevelType w:val="hybridMultilevel"/>
    <w:tmpl w:val="CD086BD4"/>
    <w:lvl w:ilvl="0" w:tplc="8C30B6FA">
      <w:numFmt w:val="bullet"/>
      <w:lvlText w:val="-"/>
      <w:lvlJc w:val="left"/>
      <w:pPr>
        <w:ind w:left="786" w:hanging="360"/>
      </w:pPr>
      <w:rPr>
        <w:rFonts w:ascii="FuturaBT-Light-Identity-H" w:eastAsiaTheme="minorHAnsi" w:hAnsi="FuturaBT-Light-Identity-H" w:cs="FuturaBT-Light-Identity-H"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A8"/>
    <w:rsid w:val="000231E0"/>
    <w:rsid w:val="005B4E30"/>
    <w:rsid w:val="00804520"/>
    <w:rsid w:val="008B7EA8"/>
    <w:rsid w:val="00923518"/>
    <w:rsid w:val="00B76092"/>
    <w:rsid w:val="00B806BD"/>
    <w:rsid w:val="00D66923"/>
    <w:rsid w:val="00DA1B0F"/>
    <w:rsid w:val="00E9357F"/>
    <w:rsid w:val="00EE45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7EA8"/>
    <w:pPr>
      <w:ind w:left="720"/>
      <w:contextualSpacing/>
    </w:pPr>
  </w:style>
  <w:style w:type="paragraph" w:styleId="Textodeglobo">
    <w:name w:val="Balloon Text"/>
    <w:basedOn w:val="Normal"/>
    <w:link w:val="TextodegloboCar"/>
    <w:uiPriority w:val="99"/>
    <w:semiHidden/>
    <w:unhideWhenUsed/>
    <w:rsid w:val="00DA1B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7EA8"/>
    <w:pPr>
      <w:ind w:left="720"/>
      <w:contextualSpacing/>
    </w:pPr>
  </w:style>
  <w:style w:type="paragraph" w:styleId="Textodeglobo">
    <w:name w:val="Balloon Text"/>
    <w:basedOn w:val="Normal"/>
    <w:link w:val="TextodegloboCar"/>
    <w:uiPriority w:val="99"/>
    <w:semiHidden/>
    <w:unhideWhenUsed/>
    <w:rsid w:val="00DA1B0F"/>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Ordinola</cp:lastModifiedBy>
  <cp:revision>9</cp:revision>
  <dcterms:created xsi:type="dcterms:W3CDTF">2011-08-24T15:11:00Z</dcterms:created>
  <dcterms:modified xsi:type="dcterms:W3CDTF">2011-08-24T16:50:00Z</dcterms:modified>
</cp:coreProperties>
</file>