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9F" w:rsidRPr="002E639B" w:rsidRDefault="00C53EB9" w:rsidP="002E639B">
      <w:pPr>
        <w:spacing w:after="0" w:line="360" w:lineRule="auto"/>
        <w:rPr>
          <w:rFonts w:ascii="Arial" w:hAnsi="Arial" w:cs="Arial"/>
          <w:b/>
          <w:sz w:val="24"/>
          <w:szCs w:val="24"/>
        </w:rPr>
      </w:pPr>
      <w:r w:rsidRPr="002E639B">
        <w:rPr>
          <w:rFonts w:ascii="Arial" w:hAnsi="Arial" w:cs="Arial"/>
          <w:b/>
          <w:sz w:val="24"/>
          <w:szCs w:val="24"/>
        </w:rPr>
        <w:t>1.4 En La actualidad</w:t>
      </w:r>
    </w:p>
    <w:p w:rsidR="002E639B" w:rsidRPr="002E639B" w:rsidRDefault="002E639B" w:rsidP="002E639B">
      <w:pPr>
        <w:spacing w:after="0" w:line="360" w:lineRule="auto"/>
        <w:rPr>
          <w:rFonts w:ascii="Arial" w:hAnsi="Arial" w:cs="Arial"/>
          <w:b/>
          <w:bCs/>
          <w:sz w:val="24"/>
          <w:szCs w:val="24"/>
        </w:rPr>
      </w:pPr>
    </w:p>
    <w:p w:rsidR="008F79F1" w:rsidRDefault="008F79F1" w:rsidP="002E639B">
      <w:pPr>
        <w:spacing w:after="0" w:line="360" w:lineRule="auto"/>
        <w:jc w:val="both"/>
        <w:rPr>
          <w:rFonts w:ascii="Arial" w:hAnsi="Arial" w:cs="Arial"/>
          <w:b/>
          <w:i/>
          <w:sz w:val="24"/>
          <w:szCs w:val="24"/>
        </w:rPr>
      </w:pPr>
      <w:r>
        <w:rPr>
          <w:rFonts w:ascii="Arial" w:hAnsi="Arial" w:cs="Arial"/>
          <w:b/>
          <w:i/>
          <w:sz w:val="24"/>
          <w:szCs w:val="24"/>
        </w:rPr>
        <w:t>El</w:t>
      </w:r>
      <w:r w:rsidRPr="008F79F1">
        <w:rPr>
          <w:rFonts w:ascii="Arial" w:hAnsi="Arial" w:cs="Arial"/>
          <w:b/>
          <w:i/>
          <w:sz w:val="24"/>
          <w:szCs w:val="24"/>
        </w:rPr>
        <w:t xml:space="preserve"> “banco de oro”</w:t>
      </w:r>
      <w:r>
        <w:rPr>
          <w:rFonts w:ascii="Arial" w:hAnsi="Arial" w:cs="Arial"/>
          <w:b/>
          <w:i/>
          <w:sz w:val="24"/>
          <w:szCs w:val="24"/>
        </w:rPr>
        <w:t xml:space="preserve"> sigue deslumbrando al mendigo</w:t>
      </w:r>
    </w:p>
    <w:p w:rsidR="008F79F1" w:rsidRPr="008F79F1" w:rsidRDefault="008F79F1" w:rsidP="002E639B">
      <w:pPr>
        <w:spacing w:after="0" w:line="360" w:lineRule="auto"/>
        <w:jc w:val="both"/>
        <w:rPr>
          <w:rFonts w:ascii="Arial" w:hAnsi="Arial" w:cs="Arial"/>
          <w:b/>
          <w:i/>
          <w:sz w:val="24"/>
          <w:szCs w:val="24"/>
        </w:rPr>
      </w:pPr>
    </w:p>
    <w:p w:rsidR="00C53EB9" w:rsidRDefault="00C53EB9" w:rsidP="002E639B">
      <w:pPr>
        <w:spacing w:after="0" w:line="360" w:lineRule="auto"/>
        <w:jc w:val="both"/>
        <w:rPr>
          <w:rFonts w:ascii="Arial" w:hAnsi="Arial" w:cs="Arial"/>
          <w:sz w:val="24"/>
          <w:szCs w:val="24"/>
        </w:rPr>
      </w:pPr>
      <w:r w:rsidRPr="002E639B">
        <w:rPr>
          <w:rFonts w:ascii="Arial" w:hAnsi="Arial" w:cs="Arial"/>
          <w:sz w:val="24"/>
          <w:szCs w:val="24"/>
        </w:rPr>
        <w:t>Al igual que en otros momentos económicamente prodigiosos de nuestra historia, e</w:t>
      </w:r>
      <w:r w:rsidR="00E1209F" w:rsidRPr="002E639B">
        <w:rPr>
          <w:rFonts w:ascii="Arial" w:hAnsi="Arial" w:cs="Arial"/>
          <w:sz w:val="24"/>
          <w:szCs w:val="24"/>
        </w:rPr>
        <w:t xml:space="preserve">l Perú vive en los últimos años </w:t>
      </w:r>
      <w:r w:rsidRPr="002E639B">
        <w:rPr>
          <w:rFonts w:ascii="Arial" w:hAnsi="Arial" w:cs="Arial"/>
          <w:sz w:val="24"/>
          <w:szCs w:val="24"/>
        </w:rPr>
        <w:t>un</w:t>
      </w:r>
      <w:r w:rsidR="008C33A6" w:rsidRPr="002E639B">
        <w:rPr>
          <w:rFonts w:ascii="Arial" w:hAnsi="Arial" w:cs="Arial"/>
          <w:sz w:val="24"/>
          <w:szCs w:val="24"/>
        </w:rPr>
        <w:t xml:space="preserve"> notable apogeo</w:t>
      </w:r>
      <w:r w:rsidR="00E46E3D" w:rsidRPr="002E639B">
        <w:rPr>
          <w:rFonts w:ascii="Arial" w:hAnsi="Arial" w:cs="Arial"/>
          <w:sz w:val="24"/>
          <w:szCs w:val="24"/>
        </w:rPr>
        <w:t xml:space="preserve"> macroeconómico</w:t>
      </w:r>
      <w:r w:rsidR="00E1209F" w:rsidRPr="002E639B">
        <w:rPr>
          <w:rFonts w:ascii="Arial" w:hAnsi="Arial" w:cs="Arial"/>
          <w:sz w:val="24"/>
          <w:szCs w:val="24"/>
        </w:rPr>
        <w:t xml:space="preserve">. El incremento del valor de los metales </w:t>
      </w:r>
      <w:r w:rsidRPr="002E639B">
        <w:rPr>
          <w:rFonts w:ascii="Arial" w:hAnsi="Arial" w:cs="Arial"/>
          <w:sz w:val="24"/>
          <w:szCs w:val="24"/>
        </w:rPr>
        <w:t xml:space="preserve">así como </w:t>
      </w:r>
      <w:r w:rsidR="008C33A6" w:rsidRPr="002E639B">
        <w:rPr>
          <w:rFonts w:ascii="Arial" w:hAnsi="Arial" w:cs="Arial"/>
          <w:sz w:val="24"/>
          <w:szCs w:val="24"/>
        </w:rPr>
        <w:t>en</w:t>
      </w:r>
      <w:r w:rsidRPr="002E639B">
        <w:rPr>
          <w:rFonts w:ascii="Arial" w:hAnsi="Arial" w:cs="Arial"/>
          <w:sz w:val="24"/>
          <w:szCs w:val="24"/>
        </w:rPr>
        <w:t xml:space="preserve"> algún momento lo fue el caucho o el guano de las islas, ha generado que la </w:t>
      </w:r>
      <w:r w:rsidR="008C33A6" w:rsidRPr="002E639B">
        <w:rPr>
          <w:rFonts w:ascii="Arial" w:hAnsi="Arial" w:cs="Arial"/>
          <w:sz w:val="24"/>
          <w:szCs w:val="24"/>
        </w:rPr>
        <w:t>economí</w:t>
      </w:r>
      <w:r w:rsidRPr="002E639B">
        <w:rPr>
          <w:rFonts w:ascii="Arial" w:hAnsi="Arial" w:cs="Arial"/>
          <w:sz w:val="24"/>
          <w:szCs w:val="24"/>
        </w:rPr>
        <w:t>a crezca a un ritmo acelerado.</w:t>
      </w:r>
    </w:p>
    <w:p w:rsidR="002E639B" w:rsidRPr="002E639B" w:rsidRDefault="002E639B" w:rsidP="002E639B">
      <w:pPr>
        <w:spacing w:after="0" w:line="360" w:lineRule="auto"/>
        <w:jc w:val="both"/>
        <w:rPr>
          <w:rFonts w:ascii="Arial" w:hAnsi="Arial" w:cs="Arial"/>
          <w:sz w:val="24"/>
          <w:szCs w:val="24"/>
        </w:rPr>
      </w:pPr>
    </w:p>
    <w:p w:rsidR="00DC7894" w:rsidRDefault="008C33A6" w:rsidP="00DC7894">
      <w:pPr>
        <w:spacing w:line="360" w:lineRule="auto"/>
        <w:rPr>
          <w:rFonts w:ascii="Arial" w:hAnsi="Arial" w:cs="Arial"/>
          <w:sz w:val="24"/>
          <w:szCs w:val="24"/>
        </w:rPr>
      </w:pPr>
      <w:r w:rsidRPr="002E639B">
        <w:rPr>
          <w:rFonts w:ascii="Arial" w:hAnsi="Arial" w:cs="Arial"/>
          <w:sz w:val="24"/>
          <w:szCs w:val="24"/>
        </w:rPr>
        <w:t>Sin embargo, una vez más, este crecimiento no ha calado en la nación en pleno, ni mucho menos,</w:t>
      </w:r>
      <w:r w:rsidR="00E46E3D" w:rsidRPr="002E639B">
        <w:rPr>
          <w:rFonts w:ascii="Arial" w:hAnsi="Arial" w:cs="Arial"/>
          <w:sz w:val="24"/>
          <w:szCs w:val="24"/>
        </w:rPr>
        <w:t xml:space="preserve"> en</w:t>
      </w:r>
      <w:r w:rsidRPr="002E639B">
        <w:rPr>
          <w:rFonts w:ascii="Arial" w:hAnsi="Arial" w:cs="Arial"/>
          <w:sz w:val="24"/>
          <w:szCs w:val="24"/>
        </w:rPr>
        <w:t xml:space="preserve"> t</w:t>
      </w:r>
      <w:r w:rsidR="00E46E3D" w:rsidRPr="002E639B">
        <w:rPr>
          <w:rFonts w:ascii="Arial" w:hAnsi="Arial" w:cs="Arial"/>
          <w:sz w:val="24"/>
          <w:szCs w:val="24"/>
        </w:rPr>
        <w:t>odos los sectores productivos. Un indicador de ello</w:t>
      </w:r>
      <w:r w:rsidRPr="002E639B">
        <w:rPr>
          <w:rFonts w:ascii="Arial" w:hAnsi="Arial" w:cs="Arial"/>
          <w:sz w:val="24"/>
          <w:szCs w:val="24"/>
        </w:rPr>
        <w:t xml:space="preserve">, </w:t>
      </w:r>
      <w:r w:rsidR="00E46E3D" w:rsidRPr="002E639B">
        <w:rPr>
          <w:rFonts w:ascii="Arial" w:hAnsi="Arial" w:cs="Arial"/>
          <w:sz w:val="24"/>
          <w:szCs w:val="24"/>
        </w:rPr>
        <w:t>son las cifras asociadas a la exportación. S</w:t>
      </w:r>
      <w:r w:rsidR="00E1209F" w:rsidRPr="002E639B">
        <w:rPr>
          <w:rFonts w:ascii="Arial" w:hAnsi="Arial" w:cs="Arial"/>
          <w:sz w:val="24"/>
          <w:szCs w:val="24"/>
        </w:rPr>
        <w:t>i vemos rápidamente la distribución de las exportacion</w:t>
      </w:r>
      <w:r w:rsidR="00E46E3D" w:rsidRPr="002E639B">
        <w:rPr>
          <w:rFonts w:ascii="Arial" w:hAnsi="Arial" w:cs="Arial"/>
          <w:sz w:val="24"/>
          <w:szCs w:val="24"/>
        </w:rPr>
        <w:t>es por sectores productivos</w:t>
      </w:r>
      <w:r w:rsidR="00E1209F" w:rsidRPr="002E639B">
        <w:rPr>
          <w:rFonts w:ascii="Arial" w:hAnsi="Arial" w:cs="Arial"/>
          <w:sz w:val="24"/>
          <w:szCs w:val="24"/>
        </w:rPr>
        <w:t xml:space="preserve">, podemos observar con claridad dónde exactamente está esta mejora y por ende, dónde está la ausencia de la misma. </w:t>
      </w:r>
      <w:r w:rsidR="00E1209F" w:rsidRPr="00DC7894">
        <w:rPr>
          <w:rFonts w:ascii="Arial" w:hAnsi="Arial" w:cs="Arial"/>
          <w:b/>
          <w:sz w:val="24"/>
          <w:szCs w:val="24"/>
        </w:rPr>
        <w:t>Ver gráfico XX:</w:t>
      </w:r>
      <w:r w:rsidR="00DC7894" w:rsidRPr="00DC7894">
        <w:rPr>
          <w:rFonts w:ascii="Arial" w:hAnsi="Arial" w:cs="Arial"/>
          <w:sz w:val="24"/>
          <w:szCs w:val="24"/>
        </w:rPr>
        <w:t xml:space="preserve"> </w:t>
      </w:r>
    </w:p>
    <w:p w:rsidR="00E159D5" w:rsidRDefault="00E159D5" w:rsidP="00DC7894">
      <w:pPr>
        <w:spacing w:line="360" w:lineRule="auto"/>
        <w:rPr>
          <w:rFonts w:ascii="Arial" w:hAnsi="Arial" w:cs="Arial"/>
          <w:sz w:val="24"/>
          <w:szCs w:val="24"/>
        </w:rPr>
      </w:pPr>
    </w:p>
    <w:p w:rsidR="00E159D5" w:rsidRPr="00E159D5" w:rsidRDefault="00E159D5" w:rsidP="00E159D5">
      <w:pPr>
        <w:spacing w:line="360" w:lineRule="auto"/>
        <w:jc w:val="center"/>
        <w:rPr>
          <w:rFonts w:ascii="Arial" w:hAnsi="Arial" w:cs="Arial"/>
          <w:b/>
          <w:sz w:val="24"/>
          <w:szCs w:val="24"/>
        </w:rPr>
      </w:pPr>
      <w:r w:rsidRPr="00E159D5">
        <w:rPr>
          <w:rFonts w:ascii="Arial" w:hAnsi="Arial" w:cs="Arial"/>
          <w:b/>
          <w:sz w:val="24"/>
          <w:szCs w:val="24"/>
        </w:rPr>
        <w:t xml:space="preserve">Gráfico </w:t>
      </w:r>
      <w:r>
        <w:rPr>
          <w:rFonts w:ascii="Arial" w:hAnsi="Arial" w:cs="Arial"/>
          <w:b/>
          <w:sz w:val="24"/>
          <w:szCs w:val="24"/>
        </w:rPr>
        <w:t xml:space="preserve">n° X </w:t>
      </w:r>
      <w:r w:rsidRPr="00E159D5">
        <w:rPr>
          <w:rFonts w:ascii="Arial" w:hAnsi="Arial" w:cs="Arial"/>
          <w:b/>
          <w:sz w:val="24"/>
          <w:szCs w:val="24"/>
        </w:rPr>
        <w:t>de exportaciones en el Perú Ene- Abr 2011</w:t>
      </w:r>
    </w:p>
    <w:p w:rsidR="00DC7894" w:rsidRDefault="00DC7894" w:rsidP="00DC7894">
      <w:pPr>
        <w:ind w:left="709"/>
        <w:rPr>
          <w:rFonts w:ascii="Arial" w:hAnsi="Arial" w:cs="Arial"/>
        </w:rPr>
      </w:pPr>
      <w:r>
        <w:rPr>
          <w:rFonts w:ascii="Arial" w:hAnsi="Arial" w:cs="Arial"/>
          <w:noProof/>
        </w:rPr>
        <w:drawing>
          <wp:inline distT="0" distB="0" distL="0" distR="0" wp14:anchorId="6D509A47" wp14:editId="483B75ED">
            <wp:extent cx="5603359" cy="2549604"/>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15505"/>
                    <a:stretch/>
                  </pic:blipFill>
                  <pic:spPr bwMode="auto">
                    <a:xfrm>
                      <a:off x="0" y="0"/>
                      <a:ext cx="5607050" cy="2551283"/>
                    </a:xfrm>
                    <a:prstGeom prst="rect">
                      <a:avLst/>
                    </a:prstGeom>
                    <a:noFill/>
                    <a:ln>
                      <a:noFill/>
                    </a:ln>
                    <a:extLst>
                      <a:ext uri="{53640926-AAD7-44D8-BBD7-CCE9431645EC}">
                        <a14:shadowObscured xmlns:a14="http://schemas.microsoft.com/office/drawing/2010/main"/>
                      </a:ext>
                    </a:extLst>
                  </pic:spPr>
                </pic:pic>
              </a:graphicData>
            </a:graphic>
          </wp:inline>
        </w:drawing>
      </w:r>
    </w:p>
    <w:p w:rsidR="00E159D5" w:rsidRPr="00E159D5" w:rsidRDefault="00E159D5" w:rsidP="00E159D5">
      <w:pPr>
        <w:spacing w:after="0"/>
        <w:ind w:left="709"/>
        <w:jc w:val="center"/>
        <w:rPr>
          <w:rFonts w:ascii="Arial" w:hAnsi="Arial" w:cs="Arial"/>
          <w:sz w:val="18"/>
        </w:rPr>
      </w:pPr>
      <w:r w:rsidRPr="00E159D5">
        <w:rPr>
          <w:rFonts w:ascii="Arial" w:hAnsi="Arial" w:cs="Arial"/>
          <w:sz w:val="18"/>
        </w:rPr>
        <w:t>Fuente MEM</w:t>
      </w:r>
    </w:p>
    <w:p w:rsidR="00E159D5" w:rsidRDefault="00E159D5" w:rsidP="00DC7894">
      <w:pPr>
        <w:ind w:left="709"/>
        <w:rPr>
          <w:rFonts w:ascii="Arial" w:hAnsi="Arial" w:cs="Arial"/>
        </w:rPr>
      </w:pPr>
    </w:p>
    <w:p w:rsidR="00E159D5" w:rsidRPr="007C1EF3" w:rsidRDefault="00E159D5" w:rsidP="00DC7894">
      <w:pPr>
        <w:ind w:left="709"/>
        <w:rPr>
          <w:rFonts w:ascii="Arial" w:hAnsi="Arial" w:cs="Arial"/>
        </w:rPr>
      </w:pPr>
    </w:p>
    <w:tbl>
      <w:tblPr>
        <w:tblW w:w="8967" w:type="dxa"/>
        <w:tblInd w:w="55" w:type="dxa"/>
        <w:tblCellMar>
          <w:left w:w="70" w:type="dxa"/>
          <w:right w:w="70" w:type="dxa"/>
        </w:tblCellMar>
        <w:tblLook w:val="04A0" w:firstRow="1" w:lastRow="0" w:firstColumn="1" w:lastColumn="0" w:noHBand="0" w:noVBand="1"/>
      </w:tblPr>
      <w:tblGrid>
        <w:gridCol w:w="2142"/>
        <w:gridCol w:w="850"/>
        <w:gridCol w:w="709"/>
        <w:gridCol w:w="850"/>
        <w:gridCol w:w="680"/>
        <w:gridCol w:w="596"/>
        <w:gridCol w:w="567"/>
        <w:gridCol w:w="567"/>
        <w:gridCol w:w="567"/>
        <w:gridCol w:w="851"/>
        <w:gridCol w:w="680"/>
      </w:tblGrid>
      <w:tr w:rsidR="00DC7894" w:rsidRPr="000F4176" w:rsidTr="003E5AA9">
        <w:trPr>
          <w:trHeight w:val="315"/>
        </w:trPr>
        <w:tc>
          <w:tcPr>
            <w:tcW w:w="8967" w:type="dxa"/>
            <w:gridSpan w:val="11"/>
            <w:tcBorders>
              <w:top w:val="nil"/>
              <w:left w:val="nil"/>
              <w:bottom w:val="nil"/>
              <w:right w:val="nil"/>
            </w:tcBorders>
            <w:shd w:val="clear" w:color="auto" w:fill="auto"/>
            <w:noWrap/>
            <w:vAlign w:val="bottom"/>
            <w:hideMark/>
          </w:tcPr>
          <w:p w:rsidR="00DC7894" w:rsidRPr="000F4176" w:rsidRDefault="00E159D5" w:rsidP="003E5AA9">
            <w:pPr>
              <w:spacing w:after="0" w:line="240" w:lineRule="auto"/>
              <w:jc w:val="center"/>
              <w:rPr>
                <w:rFonts w:ascii="Calibri" w:eastAsia="Times New Roman" w:hAnsi="Calibri" w:cs="Calibri"/>
                <w:b/>
                <w:bCs/>
                <w:color w:val="000000"/>
                <w:sz w:val="18"/>
              </w:rPr>
            </w:pPr>
            <w:r>
              <w:rPr>
                <w:rFonts w:ascii="Calibri" w:eastAsia="Times New Roman" w:hAnsi="Calibri" w:cs="Calibri"/>
                <w:b/>
                <w:bCs/>
                <w:color w:val="000000"/>
                <w:sz w:val="18"/>
              </w:rPr>
              <w:lastRenderedPageBreak/>
              <w:t xml:space="preserve">CUADRO N° X </w:t>
            </w:r>
            <w:r w:rsidR="00DC7894" w:rsidRPr="000F4176">
              <w:rPr>
                <w:rFonts w:ascii="Calibri" w:eastAsia="Times New Roman" w:hAnsi="Calibri" w:cs="Calibri"/>
                <w:b/>
                <w:bCs/>
                <w:color w:val="000000"/>
                <w:sz w:val="18"/>
              </w:rPr>
              <w:t>TOTAL DE EXPORTACIONES (valor en millones de US$)</w:t>
            </w:r>
          </w:p>
        </w:tc>
      </w:tr>
      <w:tr w:rsidR="00DC7894" w:rsidRPr="000F4176" w:rsidTr="003E5AA9">
        <w:trPr>
          <w:trHeight w:val="300"/>
        </w:trPr>
        <w:tc>
          <w:tcPr>
            <w:tcW w:w="2142"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1559"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2009</w:t>
            </w:r>
          </w:p>
        </w:tc>
        <w:tc>
          <w:tcPr>
            <w:tcW w:w="153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2010</w:t>
            </w:r>
          </w:p>
        </w:tc>
        <w:tc>
          <w:tcPr>
            <w:tcW w:w="3736" w:type="dxa"/>
            <w:gridSpan w:val="6"/>
            <w:tcBorders>
              <w:top w:val="single" w:sz="8" w:space="0" w:color="auto"/>
              <w:left w:val="nil"/>
              <w:bottom w:val="single" w:sz="4" w:space="0" w:color="auto"/>
              <w:right w:val="single" w:sz="8" w:space="0" w:color="000000"/>
            </w:tcBorders>
            <w:shd w:val="clear" w:color="auto" w:fill="auto"/>
            <w:noWrap/>
            <w:vAlign w:val="bottom"/>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2011</w:t>
            </w:r>
          </w:p>
        </w:tc>
      </w:tr>
      <w:tr w:rsidR="00DC7894" w:rsidRPr="000F4176" w:rsidTr="003E5AA9">
        <w:trPr>
          <w:trHeight w:val="300"/>
        </w:trPr>
        <w:tc>
          <w:tcPr>
            <w:tcW w:w="2142"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ENE-DIC</w:t>
            </w:r>
          </w:p>
        </w:tc>
        <w:tc>
          <w:tcPr>
            <w:tcW w:w="709" w:type="dxa"/>
            <w:tcBorders>
              <w:top w:val="nil"/>
              <w:left w:val="nil"/>
              <w:bottom w:val="single" w:sz="4" w:space="0" w:color="auto"/>
              <w:right w:val="single" w:sz="8"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w:t>
            </w:r>
          </w:p>
        </w:tc>
        <w:tc>
          <w:tcPr>
            <w:tcW w:w="850" w:type="dxa"/>
            <w:tcBorders>
              <w:top w:val="nil"/>
              <w:left w:val="nil"/>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ENE-DIC</w:t>
            </w:r>
          </w:p>
        </w:tc>
        <w:tc>
          <w:tcPr>
            <w:tcW w:w="680" w:type="dxa"/>
            <w:tcBorders>
              <w:top w:val="nil"/>
              <w:left w:val="nil"/>
              <w:bottom w:val="single" w:sz="4" w:space="0" w:color="auto"/>
              <w:right w:val="single" w:sz="8"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w:t>
            </w:r>
          </w:p>
        </w:tc>
        <w:tc>
          <w:tcPr>
            <w:tcW w:w="596" w:type="dxa"/>
            <w:tcBorders>
              <w:top w:val="nil"/>
              <w:left w:val="nil"/>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ENE</w:t>
            </w:r>
          </w:p>
        </w:tc>
        <w:tc>
          <w:tcPr>
            <w:tcW w:w="567" w:type="dxa"/>
            <w:tcBorders>
              <w:top w:val="nil"/>
              <w:left w:val="nil"/>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FEB</w:t>
            </w:r>
          </w:p>
        </w:tc>
        <w:tc>
          <w:tcPr>
            <w:tcW w:w="567" w:type="dxa"/>
            <w:tcBorders>
              <w:top w:val="nil"/>
              <w:left w:val="nil"/>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MAR</w:t>
            </w:r>
          </w:p>
        </w:tc>
        <w:tc>
          <w:tcPr>
            <w:tcW w:w="567" w:type="dxa"/>
            <w:tcBorders>
              <w:top w:val="nil"/>
              <w:left w:val="nil"/>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ABR</w:t>
            </w:r>
          </w:p>
        </w:tc>
        <w:tc>
          <w:tcPr>
            <w:tcW w:w="851" w:type="dxa"/>
            <w:tcBorders>
              <w:top w:val="nil"/>
              <w:left w:val="nil"/>
              <w:bottom w:val="single" w:sz="4" w:space="0" w:color="auto"/>
              <w:right w:val="single" w:sz="4"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ENE-ABR</w:t>
            </w:r>
          </w:p>
        </w:tc>
        <w:tc>
          <w:tcPr>
            <w:tcW w:w="588" w:type="dxa"/>
            <w:tcBorders>
              <w:top w:val="nil"/>
              <w:left w:val="nil"/>
              <w:bottom w:val="single" w:sz="4" w:space="0" w:color="auto"/>
              <w:right w:val="single" w:sz="8" w:space="0" w:color="auto"/>
            </w:tcBorders>
            <w:shd w:val="clear" w:color="auto" w:fill="auto"/>
            <w:noWrap/>
            <w:vAlign w:val="center"/>
            <w:hideMark/>
          </w:tcPr>
          <w:p w:rsidR="00DC7894" w:rsidRPr="000F4176" w:rsidRDefault="00DC7894" w:rsidP="003E5AA9">
            <w:pPr>
              <w:spacing w:after="0" w:line="240" w:lineRule="auto"/>
              <w:jc w:val="center"/>
              <w:rPr>
                <w:rFonts w:ascii="Calibri" w:eastAsia="Times New Roman" w:hAnsi="Calibri" w:cs="Calibri"/>
                <w:color w:val="000000"/>
                <w:sz w:val="18"/>
              </w:rPr>
            </w:pPr>
            <w:r w:rsidRPr="000F4176">
              <w:rPr>
                <w:rFonts w:ascii="Calibri" w:eastAsia="Times New Roman" w:hAnsi="Calibri" w:cs="Calibri"/>
                <w:color w:val="000000"/>
                <w:sz w:val="18"/>
              </w:rPr>
              <w:t>%</w:t>
            </w:r>
          </w:p>
        </w:tc>
      </w:tr>
      <w:tr w:rsidR="00DC7894" w:rsidRPr="000F4176" w:rsidTr="003E5AA9">
        <w:trPr>
          <w:trHeight w:val="300"/>
        </w:trPr>
        <w:tc>
          <w:tcPr>
            <w:tcW w:w="2142" w:type="dxa"/>
            <w:tcBorders>
              <w:top w:val="single" w:sz="4" w:space="0" w:color="auto"/>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Mineros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16,361</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60.85%</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21,723</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61.25%</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1,780</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2,119</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2,392</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2,131</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8,423</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62.87%</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Minerales no metálicos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148</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0.55%</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251</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0.71%</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34</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35</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38</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32</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139</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1.04%</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roofErr w:type="spellStart"/>
            <w:r w:rsidRPr="000F4176">
              <w:rPr>
                <w:rFonts w:ascii="Calibri" w:eastAsia="Times New Roman" w:hAnsi="Calibri" w:cs="Calibri"/>
                <w:color w:val="000000"/>
                <w:sz w:val="18"/>
              </w:rPr>
              <w:t>Sidero</w:t>
            </w:r>
            <w:proofErr w:type="spellEnd"/>
            <w:r w:rsidRPr="000F4176">
              <w:rPr>
                <w:rFonts w:ascii="Calibri" w:eastAsia="Times New Roman" w:hAnsi="Calibri" w:cs="Calibri"/>
                <w:color w:val="000000"/>
                <w:sz w:val="18"/>
              </w:rPr>
              <w:t>-metalúrgicos y joyería</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560</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2.08%</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918</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2.54%</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78</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97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93</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102</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370</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2.76%</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Metal-mecánicos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357</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1.33%</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394</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1.09%</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30</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36</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33</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125</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0.94%</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Petróleo y gas natural</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1,894</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7.04%</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3,088</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8.60%</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342</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326</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345</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340</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1,354</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10.11%</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Pesqueros (</w:t>
            </w:r>
            <w:proofErr w:type="spellStart"/>
            <w:r w:rsidRPr="000F4176">
              <w:rPr>
                <w:rFonts w:ascii="Calibri" w:eastAsia="Times New Roman" w:hAnsi="Calibri" w:cs="Calibri"/>
                <w:color w:val="000000"/>
                <w:sz w:val="18"/>
              </w:rPr>
              <w:t>exp</w:t>
            </w:r>
            <w:proofErr w:type="spellEnd"/>
            <w:r w:rsidRPr="000F4176">
              <w:rPr>
                <w:rFonts w:ascii="Calibri" w:eastAsia="Times New Roman" w:hAnsi="Calibri" w:cs="Calibri"/>
                <w:color w:val="000000"/>
                <w:sz w:val="18"/>
              </w:rPr>
              <w:t>. Trad.)</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1,683</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6.26%</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1,884</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5.31%</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79</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124</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121</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118</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441</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3.29%</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Agrícolas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633</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2.36%</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975</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2.74%</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49</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21</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115</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0.86%</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Agropecuarios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1,823</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6.78%</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2,190</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6.12%</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230</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201</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186</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183</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800</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5.97%</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Pesqueros (</w:t>
            </w:r>
            <w:proofErr w:type="spellStart"/>
            <w:r w:rsidRPr="000F4176">
              <w:rPr>
                <w:rFonts w:ascii="Calibri" w:eastAsia="Times New Roman" w:hAnsi="Calibri" w:cs="Calibri"/>
                <w:color w:val="000000"/>
                <w:sz w:val="18"/>
              </w:rPr>
              <w:t>exp</w:t>
            </w:r>
            <w:proofErr w:type="spellEnd"/>
            <w:r w:rsidRPr="000F4176">
              <w:rPr>
                <w:rFonts w:ascii="Calibri" w:eastAsia="Times New Roman" w:hAnsi="Calibri" w:cs="Calibri"/>
                <w:color w:val="000000"/>
                <w:sz w:val="18"/>
              </w:rPr>
              <w:t xml:space="preserve">.  </w:t>
            </w:r>
            <w:proofErr w:type="spellStart"/>
            <w:r w:rsidRPr="000F4176">
              <w:rPr>
                <w:rFonts w:ascii="Calibri" w:eastAsia="Times New Roman" w:hAnsi="Calibri" w:cs="Calibri"/>
                <w:color w:val="000000"/>
                <w:sz w:val="18"/>
              </w:rPr>
              <w:t>NoTrad</w:t>
            </w:r>
            <w:proofErr w:type="spellEnd"/>
            <w:r w:rsidRPr="000F4176">
              <w:rPr>
                <w:rFonts w:ascii="Calibri" w:eastAsia="Times New Roman" w:hAnsi="Calibri" w:cs="Calibri"/>
                <w:color w:val="000000"/>
                <w:sz w:val="18"/>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517</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1.92%</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642</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1.81%</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59</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79</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98</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95</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331</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2.47%</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Textiles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1,492</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5.55%</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1,558</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4.38%</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117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137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158</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147</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559</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4.17%</w:t>
            </w:r>
          </w:p>
        </w:tc>
      </w:tr>
      <w:tr w:rsidR="00DC7894" w:rsidRPr="000F4176" w:rsidTr="003E5AA9">
        <w:trPr>
          <w:trHeight w:val="600"/>
        </w:trPr>
        <w:tc>
          <w:tcPr>
            <w:tcW w:w="2142" w:type="dxa"/>
            <w:tcBorders>
              <w:top w:val="nil"/>
              <w:left w:val="single" w:sz="4" w:space="0" w:color="auto"/>
              <w:bottom w:val="single" w:sz="4" w:space="0" w:color="auto"/>
              <w:right w:val="nil"/>
            </w:tcBorders>
            <w:shd w:val="clear" w:color="auto" w:fill="auto"/>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Maderas y papeles, y sus manufacturas</w:t>
            </w:r>
          </w:p>
        </w:tc>
        <w:tc>
          <w:tcPr>
            <w:tcW w:w="850" w:type="dxa"/>
            <w:tcBorders>
              <w:top w:val="nil"/>
              <w:left w:val="single" w:sz="8" w:space="0" w:color="auto"/>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335</w:t>
            </w:r>
          </w:p>
        </w:tc>
        <w:tc>
          <w:tcPr>
            <w:tcW w:w="709" w:type="dxa"/>
            <w:tcBorders>
              <w:top w:val="nil"/>
              <w:left w:val="nil"/>
              <w:bottom w:val="single" w:sz="4" w:space="0" w:color="auto"/>
              <w:right w:val="single" w:sz="8"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1.24%</w:t>
            </w:r>
          </w:p>
        </w:tc>
        <w:tc>
          <w:tcPr>
            <w:tcW w:w="850" w:type="dxa"/>
            <w:tcBorders>
              <w:top w:val="nil"/>
              <w:left w:val="nil"/>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355</w:t>
            </w:r>
          </w:p>
        </w:tc>
        <w:tc>
          <w:tcPr>
            <w:tcW w:w="680" w:type="dxa"/>
            <w:tcBorders>
              <w:top w:val="nil"/>
              <w:left w:val="nil"/>
              <w:bottom w:val="single" w:sz="4" w:space="0" w:color="auto"/>
              <w:right w:val="single" w:sz="8"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0.99%</w:t>
            </w:r>
          </w:p>
        </w:tc>
        <w:tc>
          <w:tcPr>
            <w:tcW w:w="596" w:type="dxa"/>
            <w:tcBorders>
              <w:top w:val="nil"/>
              <w:left w:val="nil"/>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28</w:t>
            </w:r>
          </w:p>
        </w:tc>
        <w:tc>
          <w:tcPr>
            <w:tcW w:w="567" w:type="dxa"/>
            <w:tcBorders>
              <w:top w:val="nil"/>
              <w:left w:val="nil"/>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25</w:t>
            </w:r>
          </w:p>
        </w:tc>
        <w:tc>
          <w:tcPr>
            <w:tcW w:w="567" w:type="dxa"/>
            <w:tcBorders>
              <w:top w:val="nil"/>
              <w:left w:val="nil"/>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25</w:t>
            </w:r>
          </w:p>
        </w:tc>
        <w:tc>
          <w:tcPr>
            <w:tcW w:w="567" w:type="dxa"/>
            <w:tcBorders>
              <w:top w:val="nil"/>
              <w:left w:val="nil"/>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25</w:t>
            </w:r>
          </w:p>
        </w:tc>
        <w:tc>
          <w:tcPr>
            <w:tcW w:w="851" w:type="dxa"/>
            <w:tcBorders>
              <w:top w:val="nil"/>
              <w:left w:val="nil"/>
              <w:bottom w:val="single" w:sz="4" w:space="0" w:color="auto"/>
              <w:right w:val="single" w:sz="4"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102</w:t>
            </w:r>
          </w:p>
        </w:tc>
        <w:tc>
          <w:tcPr>
            <w:tcW w:w="588" w:type="dxa"/>
            <w:tcBorders>
              <w:top w:val="nil"/>
              <w:left w:val="nil"/>
              <w:bottom w:val="single" w:sz="4" w:space="0" w:color="auto"/>
              <w:right w:val="single" w:sz="8" w:space="0" w:color="auto"/>
            </w:tcBorders>
            <w:shd w:val="clear" w:color="auto" w:fill="auto"/>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0.76%</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Químicos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837</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3.11%</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1,223</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3.44%</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119</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147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125</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498</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3.72%</w:t>
            </w:r>
          </w:p>
        </w:tc>
      </w:tr>
      <w:tr w:rsidR="00DC7894" w:rsidRPr="000F4176" w:rsidTr="003E5AA9">
        <w:trPr>
          <w:trHeight w:val="300"/>
        </w:trPr>
        <w:tc>
          <w:tcPr>
            <w:tcW w:w="2142" w:type="dxa"/>
            <w:tcBorders>
              <w:top w:val="nil"/>
              <w:left w:val="single" w:sz="4" w:space="0" w:color="auto"/>
              <w:bottom w:val="single" w:sz="4" w:space="0" w:color="auto"/>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Otros</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247</w:t>
            </w:r>
          </w:p>
        </w:tc>
        <w:tc>
          <w:tcPr>
            <w:tcW w:w="709"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0.92%</w:t>
            </w:r>
          </w:p>
        </w:tc>
        <w:tc>
          <w:tcPr>
            <w:tcW w:w="850"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364</w:t>
            </w:r>
          </w:p>
        </w:tc>
        <w:tc>
          <w:tcPr>
            <w:tcW w:w="680"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1.03%</w:t>
            </w:r>
          </w:p>
        </w:tc>
        <w:tc>
          <w:tcPr>
            <w:tcW w:w="596"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30</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37</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40</w:t>
            </w:r>
          </w:p>
        </w:tc>
        <w:tc>
          <w:tcPr>
            <w:tcW w:w="567"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33</w:t>
            </w:r>
          </w:p>
        </w:tc>
        <w:tc>
          <w:tcPr>
            <w:tcW w:w="851" w:type="dxa"/>
            <w:tcBorders>
              <w:top w:val="nil"/>
              <w:left w:val="nil"/>
              <w:bottom w:val="single" w:sz="4" w:space="0" w:color="auto"/>
              <w:right w:val="single" w:sz="4"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140</w:t>
            </w:r>
          </w:p>
        </w:tc>
        <w:tc>
          <w:tcPr>
            <w:tcW w:w="588" w:type="dxa"/>
            <w:tcBorders>
              <w:top w:val="nil"/>
              <w:left w:val="nil"/>
              <w:bottom w:val="single" w:sz="4" w:space="0" w:color="auto"/>
              <w:right w:val="single" w:sz="8" w:space="0" w:color="auto"/>
            </w:tcBorders>
            <w:shd w:val="clear" w:color="auto" w:fill="auto"/>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1.05%</w:t>
            </w:r>
          </w:p>
        </w:tc>
      </w:tr>
      <w:tr w:rsidR="00DC7894" w:rsidRPr="000F4176" w:rsidTr="003E5AA9">
        <w:trPr>
          <w:trHeight w:val="315"/>
        </w:trPr>
        <w:tc>
          <w:tcPr>
            <w:tcW w:w="2142" w:type="dxa"/>
            <w:tcBorders>
              <w:top w:val="nil"/>
              <w:left w:val="single" w:sz="4" w:space="0" w:color="auto"/>
              <w:bottom w:val="single" w:sz="4" w:space="0" w:color="auto"/>
              <w:right w:val="nil"/>
            </w:tcBorders>
            <w:shd w:val="clear" w:color="000000" w:fill="B7DEE8"/>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TOTAL EXPORTACIONES</w:t>
            </w:r>
          </w:p>
        </w:tc>
        <w:tc>
          <w:tcPr>
            <w:tcW w:w="850" w:type="dxa"/>
            <w:tcBorders>
              <w:top w:val="nil"/>
              <w:left w:val="single" w:sz="8" w:space="0" w:color="auto"/>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26,885</w:t>
            </w:r>
          </w:p>
        </w:tc>
        <w:tc>
          <w:tcPr>
            <w:tcW w:w="709" w:type="dxa"/>
            <w:tcBorders>
              <w:top w:val="nil"/>
              <w:left w:val="nil"/>
              <w:bottom w:val="single" w:sz="8" w:space="0" w:color="auto"/>
              <w:right w:val="single" w:sz="8"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100%</w:t>
            </w:r>
          </w:p>
        </w:tc>
        <w:tc>
          <w:tcPr>
            <w:tcW w:w="850" w:type="dxa"/>
            <w:tcBorders>
              <w:top w:val="nil"/>
              <w:left w:val="nil"/>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35,565</w:t>
            </w:r>
          </w:p>
        </w:tc>
        <w:tc>
          <w:tcPr>
            <w:tcW w:w="680" w:type="dxa"/>
            <w:tcBorders>
              <w:top w:val="nil"/>
              <w:left w:val="nil"/>
              <w:bottom w:val="single" w:sz="8" w:space="0" w:color="auto"/>
              <w:right w:val="single" w:sz="8"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100%</w:t>
            </w:r>
          </w:p>
        </w:tc>
        <w:tc>
          <w:tcPr>
            <w:tcW w:w="596" w:type="dxa"/>
            <w:tcBorders>
              <w:top w:val="nil"/>
              <w:left w:val="nil"/>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2,960</w:t>
            </w:r>
          </w:p>
        </w:tc>
        <w:tc>
          <w:tcPr>
            <w:tcW w:w="567" w:type="dxa"/>
            <w:tcBorders>
              <w:top w:val="nil"/>
              <w:left w:val="nil"/>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3,359</w:t>
            </w:r>
          </w:p>
        </w:tc>
        <w:tc>
          <w:tcPr>
            <w:tcW w:w="567" w:type="dxa"/>
            <w:tcBorders>
              <w:top w:val="nil"/>
              <w:left w:val="nil"/>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3,699</w:t>
            </w:r>
          </w:p>
        </w:tc>
        <w:tc>
          <w:tcPr>
            <w:tcW w:w="567" w:type="dxa"/>
            <w:tcBorders>
              <w:top w:val="nil"/>
              <w:left w:val="nil"/>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3,380</w:t>
            </w:r>
          </w:p>
        </w:tc>
        <w:tc>
          <w:tcPr>
            <w:tcW w:w="851" w:type="dxa"/>
            <w:tcBorders>
              <w:top w:val="nil"/>
              <w:left w:val="nil"/>
              <w:bottom w:val="single" w:sz="8" w:space="0" w:color="auto"/>
              <w:right w:val="single" w:sz="4"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13,397</w:t>
            </w:r>
          </w:p>
        </w:tc>
        <w:tc>
          <w:tcPr>
            <w:tcW w:w="588" w:type="dxa"/>
            <w:tcBorders>
              <w:top w:val="nil"/>
              <w:left w:val="nil"/>
              <w:bottom w:val="single" w:sz="8" w:space="0" w:color="auto"/>
              <w:right w:val="single" w:sz="8" w:space="0" w:color="auto"/>
            </w:tcBorders>
            <w:shd w:val="clear" w:color="000000" w:fill="B7DEE8"/>
            <w:noWrap/>
            <w:vAlign w:val="bottom"/>
            <w:hideMark/>
          </w:tcPr>
          <w:p w:rsidR="00DC7894" w:rsidRPr="000F4176" w:rsidRDefault="00DC7894" w:rsidP="003E5AA9">
            <w:pPr>
              <w:spacing w:after="0" w:line="240" w:lineRule="auto"/>
              <w:jc w:val="right"/>
              <w:rPr>
                <w:rFonts w:ascii="Calibri" w:eastAsia="Times New Roman" w:hAnsi="Calibri" w:cs="Calibri"/>
                <w:color w:val="000000"/>
                <w:sz w:val="18"/>
              </w:rPr>
            </w:pPr>
            <w:r w:rsidRPr="000F4176">
              <w:rPr>
                <w:rFonts w:ascii="Calibri" w:eastAsia="Times New Roman" w:hAnsi="Calibri" w:cs="Calibri"/>
                <w:color w:val="000000"/>
                <w:sz w:val="18"/>
              </w:rPr>
              <w:t>100%</w:t>
            </w:r>
          </w:p>
        </w:tc>
      </w:tr>
      <w:tr w:rsidR="00DC7894" w:rsidRPr="000F4176" w:rsidTr="003E5AA9">
        <w:trPr>
          <w:trHeight w:val="300"/>
        </w:trPr>
        <w:tc>
          <w:tcPr>
            <w:tcW w:w="2992" w:type="dxa"/>
            <w:gridSpan w:val="2"/>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Fuente: Cuadros estadí</w:t>
            </w:r>
            <w:r w:rsidR="00E159D5">
              <w:rPr>
                <w:rFonts w:ascii="Calibri" w:eastAsia="Times New Roman" w:hAnsi="Calibri" w:cs="Calibri"/>
                <w:color w:val="000000"/>
                <w:sz w:val="18"/>
              </w:rPr>
              <w:t>s</w:t>
            </w:r>
            <w:r w:rsidRPr="000F4176">
              <w:rPr>
                <w:rFonts w:ascii="Calibri" w:eastAsia="Times New Roman" w:hAnsi="Calibri" w:cs="Calibri"/>
                <w:color w:val="000000"/>
                <w:sz w:val="18"/>
              </w:rPr>
              <w:t>ticos del BCRP</w:t>
            </w:r>
          </w:p>
        </w:tc>
        <w:tc>
          <w:tcPr>
            <w:tcW w:w="709"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850"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680"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96"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67"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67"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67"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851"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88"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r>
      <w:tr w:rsidR="00DC7894" w:rsidRPr="000F4176" w:rsidTr="003E5AA9">
        <w:trPr>
          <w:trHeight w:val="300"/>
        </w:trPr>
        <w:tc>
          <w:tcPr>
            <w:tcW w:w="2142"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r w:rsidRPr="000F4176">
              <w:rPr>
                <w:rFonts w:ascii="Calibri" w:eastAsia="Times New Roman" w:hAnsi="Calibri" w:cs="Calibri"/>
                <w:color w:val="000000"/>
                <w:sz w:val="18"/>
              </w:rPr>
              <w:t>Elaboración: MEM</w:t>
            </w:r>
          </w:p>
        </w:tc>
        <w:tc>
          <w:tcPr>
            <w:tcW w:w="850"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709"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850"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680"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96"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67"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67"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67"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851"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c>
          <w:tcPr>
            <w:tcW w:w="588" w:type="dxa"/>
            <w:tcBorders>
              <w:top w:val="nil"/>
              <w:left w:val="nil"/>
              <w:bottom w:val="nil"/>
              <w:right w:val="nil"/>
            </w:tcBorders>
            <w:shd w:val="clear" w:color="auto" w:fill="auto"/>
            <w:noWrap/>
            <w:vAlign w:val="bottom"/>
            <w:hideMark/>
          </w:tcPr>
          <w:p w:rsidR="00DC7894" w:rsidRPr="000F4176" w:rsidRDefault="00DC7894" w:rsidP="003E5AA9">
            <w:pPr>
              <w:spacing w:after="0" w:line="240" w:lineRule="auto"/>
              <w:rPr>
                <w:rFonts w:ascii="Calibri" w:eastAsia="Times New Roman" w:hAnsi="Calibri" w:cs="Calibri"/>
                <w:color w:val="000000"/>
                <w:sz w:val="18"/>
              </w:rPr>
            </w:pPr>
          </w:p>
        </w:tc>
      </w:tr>
    </w:tbl>
    <w:p w:rsidR="00E1209F" w:rsidRDefault="00E1209F" w:rsidP="002E639B">
      <w:pPr>
        <w:spacing w:after="0" w:line="360" w:lineRule="auto"/>
        <w:jc w:val="both"/>
        <w:rPr>
          <w:rFonts w:ascii="Arial" w:hAnsi="Arial" w:cs="Arial"/>
          <w:color w:val="FF0000"/>
          <w:sz w:val="24"/>
          <w:szCs w:val="24"/>
        </w:rPr>
      </w:pPr>
    </w:p>
    <w:p w:rsidR="002E639B" w:rsidRPr="002E639B" w:rsidRDefault="00E159D5" w:rsidP="002E639B">
      <w:pPr>
        <w:spacing w:after="0" w:line="360" w:lineRule="auto"/>
        <w:jc w:val="both"/>
        <w:rPr>
          <w:rFonts w:ascii="Arial" w:hAnsi="Arial" w:cs="Arial"/>
          <w:sz w:val="24"/>
          <w:szCs w:val="24"/>
        </w:rPr>
      </w:pPr>
      <w:r>
        <w:rPr>
          <w:rFonts w:ascii="Arial" w:hAnsi="Arial" w:cs="Arial"/>
          <w:sz w:val="24"/>
          <w:szCs w:val="24"/>
        </w:rPr>
        <w:t>Como se puede observar en el gráfico en el período de los meses de enero a abril el rubro de minería representa el 63% de las exportaciones a nivel nacional. De igual manera esta predominancia como se observa en el cuadro X tiene sus orígenes desde años anteriores, configurando incluso más de la mitad del total de las exportaciones.</w:t>
      </w:r>
    </w:p>
    <w:p w:rsidR="002E639B" w:rsidRPr="002E639B" w:rsidRDefault="002E639B" w:rsidP="002E639B">
      <w:pPr>
        <w:spacing w:after="0" w:line="360" w:lineRule="auto"/>
        <w:jc w:val="both"/>
        <w:rPr>
          <w:rFonts w:ascii="Arial" w:hAnsi="Arial" w:cs="Arial"/>
          <w:color w:val="FF0000"/>
          <w:sz w:val="24"/>
          <w:szCs w:val="24"/>
        </w:rPr>
      </w:pPr>
    </w:p>
    <w:p w:rsidR="00E1209F" w:rsidRDefault="003A23E2" w:rsidP="002E639B">
      <w:pPr>
        <w:spacing w:after="0" w:line="360" w:lineRule="auto"/>
        <w:jc w:val="both"/>
        <w:rPr>
          <w:rFonts w:ascii="Arial" w:hAnsi="Arial" w:cs="Arial"/>
          <w:color w:val="FF0000"/>
          <w:sz w:val="24"/>
          <w:szCs w:val="24"/>
        </w:rPr>
      </w:pPr>
      <w:r>
        <w:rPr>
          <w:rFonts w:ascii="Arial" w:hAnsi="Arial" w:cs="Arial"/>
          <w:sz w:val="24"/>
          <w:szCs w:val="24"/>
        </w:rPr>
        <w:t xml:space="preserve">Así mismo si </w:t>
      </w:r>
      <w:r w:rsidR="00660971">
        <w:rPr>
          <w:rFonts w:ascii="Arial" w:hAnsi="Arial" w:cs="Arial"/>
          <w:sz w:val="24"/>
          <w:szCs w:val="24"/>
        </w:rPr>
        <w:t>observamos a nivel nacional el Índice de Densidad del E</w:t>
      </w:r>
      <w:r>
        <w:rPr>
          <w:rFonts w:ascii="Arial" w:hAnsi="Arial" w:cs="Arial"/>
          <w:sz w:val="24"/>
          <w:szCs w:val="24"/>
        </w:rPr>
        <w:t>stado</w:t>
      </w:r>
      <w:r>
        <w:rPr>
          <w:rStyle w:val="Refdenotaalpie"/>
          <w:rFonts w:ascii="Arial" w:hAnsi="Arial" w:cs="Arial"/>
          <w:sz w:val="24"/>
          <w:szCs w:val="24"/>
        </w:rPr>
        <w:footnoteReference w:id="1"/>
      </w:r>
      <w:r w:rsidR="00660971">
        <w:rPr>
          <w:rFonts w:ascii="Arial" w:hAnsi="Arial" w:cs="Arial"/>
          <w:sz w:val="24"/>
          <w:szCs w:val="24"/>
        </w:rPr>
        <w:t xml:space="preserve"> (IDE) según provincias es muy diverso, e incluso dentro de una misma provincia se </w:t>
      </w:r>
      <w:r w:rsidR="00660971">
        <w:rPr>
          <w:rFonts w:ascii="Arial" w:hAnsi="Arial" w:cs="Arial"/>
          <w:sz w:val="24"/>
          <w:szCs w:val="24"/>
        </w:rPr>
        <w:lastRenderedPageBreak/>
        <w:t>puede encontrar grandes diferencias entre los distritos que la conforman como es el caso de Madre de Dios que presenta población con un nivel bajo, medio alto y alto. De esta manera si</w:t>
      </w:r>
      <w:r w:rsidR="00E1209F" w:rsidRPr="002E639B">
        <w:rPr>
          <w:rFonts w:ascii="Arial" w:hAnsi="Arial" w:cs="Arial"/>
          <w:sz w:val="24"/>
          <w:szCs w:val="24"/>
        </w:rPr>
        <w:t xml:space="preserve"> sumamo</w:t>
      </w:r>
      <w:r w:rsidR="008C33A6" w:rsidRPr="002E639B">
        <w:rPr>
          <w:rFonts w:ascii="Arial" w:hAnsi="Arial" w:cs="Arial"/>
          <w:sz w:val="24"/>
          <w:szCs w:val="24"/>
        </w:rPr>
        <w:t>s al análisis de la realidad de las exportaciones</w:t>
      </w:r>
      <w:r w:rsidR="00E1209F" w:rsidRPr="002E639B">
        <w:rPr>
          <w:rFonts w:ascii="Arial" w:hAnsi="Arial" w:cs="Arial"/>
          <w:sz w:val="24"/>
          <w:szCs w:val="24"/>
        </w:rPr>
        <w:t xml:space="preserve">, la evaluación estadística de </w:t>
      </w:r>
      <w:r w:rsidR="00E46E3D" w:rsidRPr="002E639B">
        <w:rPr>
          <w:rFonts w:ascii="Arial" w:hAnsi="Arial" w:cs="Arial"/>
          <w:sz w:val="24"/>
          <w:szCs w:val="24"/>
        </w:rPr>
        <w:t>indicadores</w:t>
      </w:r>
      <w:r w:rsidR="00660971">
        <w:rPr>
          <w:rFonts w:ascii="Arial" w:hAnsi="Arial" w:cs="Arial"/>
          <w:sz w:val="24"/>
          <w:szCs w:val="24"/>
        </w:rPr>
        <w:t xml:space="preserve"> sociales globales </w:t>
      </w:r>
      <w:r w:rsidR="00E46E3D" w:rsidRPr="002E639B">
        <w:rPr>
          <w:rFonts w:ascii="Arial" w:hAnsi="Arial" w:cs="Arial"/>
          <w:sz w:val="24"/>
          <w:szCs w:val="24"/>
        </w:rPr>
        <w:t xml:space="preserve">como </w:t>
      </w:r>
      <w:r w:rsidR="00660971">
        <w:rPr>
          <w:rFonts w:ascii="Arial" w:hAnsi="Arial" w:cs="Arial"/>
          <w:sz w:val="24"/>
          <w:szCs w:val="24"/>
        </w:rPr>
        <w:t xml:space="preserve">el </w:t>
      </w:r>
      <w:r w:rsidR="00A53D02">
        <w:rPr>
          <w:rFonts w:ascii="Arial" w:hAnsi="Arial" w:cs="Arial"/>
          <w:sz w:val="24"/>
          <w:szCs w:val="24"/>
        </w:rPr>
        <w:t xml:space="preserve">IDE, </w:t>
      </w:r>
      <w:r w:rsidR="00E1209F" w:rsidRPr="002E639B">
        <w:rPr>
          <w:rFonts w:ascii="Arial" w:hAnsi="Arial" w:cs="Arial"/>
          <w:sz w:val="24"/>
          <w:szCs w:val="24"/>
        </w:rPr>
        <w:t xml:space="preserve">la radiografía de un país </w:t>
      </w:r>
      <w:r w:rsidR="00A53D02">
        <w:rPr>
          <w:rFonts w:ascii="Arial" w:hAnsi="Arial" w:cs="Arial"/>
          <w:sz w:val="24"/>
          <w:szCs w:val="24"/>
        </w:rPr>
        <w:t xml:space="preserve">muestra </w:t>
      </w:r>
      <w:r w:rsidR="00E1209F" w:rsidRPr="002E639B">
        <w:rPr>
          <w:rFonts w:ascii="Arial" w:hAnsi="Arial" w:cs="Arial"/>
          <w:sz w:val="24"/>
          <w:szCs w:val="24"/>
        </w:rPr>
        <w:t>diferencias monum</w:t>
      </w:r>
      <w:r w:rsidR="00E46E3D" w:rsidRPr="002E639B">
        <w:rPr>
          <w:rFonts w:ascii="Arial" w:hAnsi="Arial" w:cs="Arial"/>
          <w:sz w:val="24"/>
          <w:szCs w:val="24"/>
        </w:rPr>
        <w:t>entales e</w:t>
      </w:r>
      <w:r w:rsidR="00E1209F" w:rsidRPr="002E639B">
        <w:rPr>
          <w:rFonts w:ascii="Arial" w:hAnsi="Arial" w:cs="Arial"/>
          <w:sz w:val="24"/>
          <w:szCs w:val="24"/>
        </w:rPr>
        <w:t xml:space="preserve"> incuestionable</w:t>
      </w:r>
      <w:r w:rsidR="00A53D02">
        <w:rPr>
          <w:rFonts w:ascii="Arial" w:hAnsi="Arial" w:cs="Arial"/>
          <w:sz w:val="24"/>
          <w:szCs w:val="24"/>
        </w:rPr>
        <w:t>s</w:t>
      </w:r>
      <w:r w:rsidR="00E1209F" w:rsidRPr="002E639B">
        <w:rPr>
          <w:rFonts w:ascii="Arial" w:hAnsi="Arial" w:cs="Arial"/>
          <w:sz w:val="24"/>
          <w:szCs w:val="24"/>
        </w:rPr>
        <w:t xml:space="preserve">. </w:t>
      </w:r>
      <w:r w:rsidR="00E1209F" w:rsidRPr="002E639B">
        <w:rPr>
          <w:rFonts w:ascii="Arial" w:hAnsi="Arial" w:cs="Arial"/>
          <w:color w:val="FF0000"/>
          <w:sz w:val="24"/>
          <w:szCs w:val="24"/>
        </w:rPr>
        <w:t>Ver gráfico XX:</w:t>
      </w:r>
    </w:p>
    <w:p w:rsidR="002E639B" w:rsidRPr="002E639B" w:rsidRDefault="00E159D5" w:rsidP="00E159D5">
      <w:pPr>
        <w:spacing w:after="0" w:line="360" w:lineRule="auto"/>
        <w:jc w:val="center"/>
        <w:rPr>
          <w:rFonts w:ascii="Arial" w:hAnsi="Arial" w:cs="Arial"/>
          <w:sz w:val="24"/>
          <w:szCs w:val="24"/>
        </w:rPr>
      </w:pPr>
      <w:r w:rsidRPr="007C1EF3">
        <w:rPr>
          <w:rFonts w:ascii="Arial" w:hAnsi="Arial" w:cs="Arial"/>
          <w:noProof/>
        </w:rPr>
        <w:lastRenderedPageBreak/>
        <w:drawing>
          <wp:inline distT="0" distB="0" distL="0" distR="0" wp14:anchorId="73B323F7" wp14:editId="3A77AD7C">
            <wp:extent cx="4976037" cy="58160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493" cy="5822387"/>
                    </a:xfrm>
                    <a:prstGeom prst="rect">
                      <a:avLst/>
                    </a:prstGeom>
                    <a:noFill/>
                    <a:ln>
                      <a:noFill/>
                    </a:ln>
                  </pic:spPr>
                </pic:pic>
              </a:graphicData>
            </a:graphic>
          </wp:inline>
        </w:drawing>
      </w:r>
    </w:p>
    <w:p w:rsidR="00E159D5" w:rsidRDefault="00E159D5" w:rsidP="00E159D5">
      <w:pPr>
        <w:spacing w:after="0" w:line="360" w:lineRule="auto"/>
        <w:jc w:val="center"/>
        <w:rPr>
          <w:rFonts w:ascii="Arial" w:hAnsi="Arial" w:cs="Arial"/>
          <w:sz w:val="20"/>
          <w:szCs w:val="24"/>
        </w:rPr>
      </w:pPr>
      <w:r w:rsidRPr="00E159D5">
        <w:rPr>
          <w:rFonts w:ascii="Arial" w:hAnsi="Arial" w:cs="Arial"/>
          <w:sz w:val="20"/>
          <w:szCs w:val="24"/>
        </w:rPr>
        <w:t>Fuente: Informe del índice de desarrollo humano 2009</w:t>
      </w:r>
    </w:p>
    <w:p w:rsidR="00E159D5" w:rsidRPr="00E159D5" w:rsidRDefault="00E159D5" w:rsidP="00E159D5">
      <w:pPr>
        <w:spacing w:after="0" w:line="360" w:lineRule="auto"/>
        <w:jc w:val="center"/>
        <w:rPr>
          <w:rFonts w:ascii="Arial" w:hAnsi="Arial" w:cs="Arial"/>
          <w:sz w:val="20"/>
          <w:szCs w:val="24"/>
        </w:rPr>
      </w:pPr>
    </w:p>
    <w:p w:rsidR="00E1209F" w:rsidRDefault="00A150E2" w:rsidP="002E639B">
      <w:pPr>
        <w:spacing w:after="0" w:line="360" w:lineRule="auto"/>
        <w:jc w:val="both"/>
        <w:rPr>
          <w:rFonts w:ascii="Arial" w:hAnsi="Arial" w:cs="Arial"/>
          <w:sz w:val="24"/>
          <w:szCs w:val="24"/>
        </w:rPr>
      </w:pPr>
      <w:r>
        <w:rPr>
          <w:rFonts w:ascii="Arial" w:hAnsi="Arial" w:cs="Arial"/>
          <w:sz w:val="24"/>
          <w:szCs w:val="24"/>
        </w:rPr>
        <w:t xml:space="preserve">Sabiendo ahora todo lo que respecto a esta inequidad ha vivido nuestra nación en su historia </w:t>
      </w:r>
      <w:r w:rsidR="00E1209F" w:rsidRPr="002E639B">
        <w:rPr>
          <w:rFonts w:ascii="Arial" w:hAnsi="Arial" w:cs="Arial"/>
          <w:sz w:val="24"/>
          <w:szCs w:val="24"/>
        </w:rPr>
        <w:t>¿Qué puede pasar cuando hay tantas diferencias</w:t>
      </w:r>
      <w:r>
        <w:rPr>
          <w:rFonts w:ascii="Arial" w:hAnsi="Arial" w:cs="Arial"/>
          <w:sz w:val="24"/>
          <w:szCs w:val="24"/>
        </w:rPr>
        <w:t xml:space="preserve"> pasadas, latentes y futuras</w:t>
      </w:r>
      <w:r w:rsidR="00E1209F" w:rsidRPr="002E639B">
        <w:rPr>
          <w:rFonts w:ascii="Arial" w:hAnsi="Arial" w:cs="Arial"/>
          <w:sz w:val="24"/>
          <w:szCs w:val="24"/>
        </w:rPr>
        <w:t>? ¿Cómo es comprensible que reaccione la sociedad?</w:t>
      </w:r>
      <w:r w:rsidR="008C33A6" w:rsidRPr="002E639B">
        <w:rPr>
          <w:rFonts w:ascii="Arial" w:hAnsi="Arial" w:cs="Arial"/>
          <w:sz w:val="24"/>
          <w:szCs w:val="24"/>
        </w:rPr>
        <w:t xml:space="preserve"> Pues como resulta conocido, con la misma </w:t>
      </w:r>
      <w:r>
        <w:rPr>
          <w:rFonts w:ascii="Arial" w:hAnsi="Arial" w:cs="Arial"/>
          <w:sz w:val="24"/>
          <w:szCs w:val="24"/>
        </w:rPr>
        <w:t xml:space="preserve">o mayor </w:t>
      </w:r>
      <w:r w:rsidR="008C33A6" w:rsidRPr="002E639B">
        <w:rPr>
          <w:rFonts w:ascii="Arial" w:hAnsi="Arial" w:cs="Arial"/>
          <w:sz w:val="24"/>
          <w:szCs w:val="24"/>
        </w:rPr>
        <w:t>indignac</w:t>
      </w:r>
      <w:r>
        <w:rPr>
          <w:rFonts w:ascii="Arial" w:hAnsi="Arial" w:cs="Arial"/>
          <w:sz w:val="24"/>
          <w:szCs w:val="24"/>
        </w:rPr>
        <w:t>ión que siempre</w:t>
      </w:r>
      <w:r w:rsidR="008C33A6" w:rsidRPr="002E639B">
        <w:rPr>
          <w:rFonts w:ascii="Arial" w:hAnsi="Arial" w:cs="Arial"/>
          <w:sz w:val="24"/>
          <w:szCs w:val="24"/>
        </w:rPr>
        <w:t>.</w:t>
      </w:r>
    </w:p>
    <w:p w:rsidR="002E639B" w:rsidRDefault="002E639B" w:rsidP="002E639B">
      <w:pPr>
        <w:spacing w:after="0" w:line="360" w:lineRule="auto"/>
        <w:jc w:val="both"/>
        <w:rPr>
          <w:rFonts w:ascii="Arial" w:hAnsi="Arial" w:cs="Arial"/>
          <w:sz w:val="24"/>
          <w:szCs w:val="24"/>
        </w:rPr>
      </w:pPr>
    </w:p>
    <w:p w:rsidR="00A150E2" w:rsidRDefault="00A150E2" w:rsidP="00A150E2">
      <w:pPr>
        <w:spacing w:after="0" w:line="360" w:lineRule="auto"/>
        <w:jc w:val="both"/>
        <w:rPr>
          <w:rFonts w:ascii="Arial" w:hAnsi="Arial" w:cs="Arial"/>
          <w:sz w:val="24"/>
          <w:szCs w:val="24"/>
        </w:rPr>
      </w:pPr>
      <w:r w:rsidRPr="002E639B">
        <w:rPr>
          <w:rFonts w:ascii="Arial" w:hAnsi="Arial" w:cs="Arial"/>
          <w:sz w:val="24"/>
          <w:szCs w:val="24"/>
        </w:rPr>
        <w:t xml:space="preserve">La Defensoría del Pueblo publica mensualmente desde el 2004 la relación de los conflictos sociales que están vigentes en el Perú. Son hechos que por su magnitud </w:t>
      </w:r>
      <w:r w:rsidRPr="002E639B">
        <w:rPr>
          <w:rFonts w:ascii="Arial" w:hAnsi="Arial" w:cs="Arial"/>
          <w:sz w:val="24"/>
          <w:szCs w:val="24"/>
        </w:rPr>
        <w:lastRenderedPageBreak/>
        <w:t>generan una gran violencia que impide el normal desenvolvimiento de la sociedad. Sus 28 oficinas de defensoría  y sus 10 módulos de atención al público</w:t>
      </w:r>
      <w:r w:rsidR="00012491">
        <w:rPr>
          <w:rFonts w:ascii="Arial" w:hAnsi="Arial" w:cs="Arial"/>
          <w:sz w:val="24"/>
          <w:szCs w:val="24"/>
        </w:rPr>
        <w:t xml:space="preserve"> distribuidos a nivel nacional</w:t>
      </w:r>
      <w:r w:rsidRPr="002E639B">
        <w:rPr>
          <w:rFonts w:ascii="Arial" w:hAnsi="Arial" w:cs="Arial"/>
          <w:sz w:val="24"/>
          <w:szCs w:val="24"/>
        </w:rPr>
        <w:t>, seleccionan y llevan un</w:t>
      </w:r>
      <w:r w:rsidR="00012491">
        <w:rPr>
          <w:rFonts w:ascii="Arial" w:hAnsi="Arial" w:cs="Arial"/>
          <w:sz w:val="24"/>
          <w:szCs w:val="24"/>
        </w:rPr>
        <w:t xml:space="preserve"> registro metodológico y siste</w:t>
      </w:r>
      <w:r w:rsidRPr="002E639B">
        <w:rPr>
          <w:rFonts w:ascii="Arial" w:hAnsi="Arial" w:cs="Arial"/>
          <w:sz w:val="24"/>
          <w:szCs w:val="24"/>
        </w:rPr>
        <w:t>mát</w:t>
      </w:r>
      <w:r w:rsidR="008F79F1">
        <w:rPr>
          <w:rFonts w:ascii="Arial" w:hAnsi="Arial" w:cs="Arial"/>
          <w:sz w:val="24"/>
          <w:szCs w:val="24"/>
        </w:rPr>
        <w:t>ico de los conflictos en el país</w:t>
      </w:r>
      <w:r w:rsidRPr="002E639B">
        <w:rPr>
          <w:rFonts w:ascii="Arial" w:hAnsi="Arial" w:cs="Arial"/>
          <w:sz w:val="24"/>
          <w:szCs w:val="24"/>
        </w:rPr>
        <w:t xml:space="preserve">. A </w:t>
      </w:r>
      <w:r w:rsidR="00012491">
        <w:rPr>
          <w:rFonts w:ascii="Arial" w:hAnsi="Arial" w:cs="Arial"/>
          <w:sz w:val="24"/>
          <w:szCs w:val="24"/>
        </w:rPr>
        <w:t>junio del 2011</w:t>
      </w:r>
      <w:r w:rsidRPr="002E639B">
        <w:rPr>
          <w:rFonts w:ascii="Arial" w:hAnsi="Arial" w:cs="Arial"/>
          <w:sz w:val="24"/>
          <w:szCs w:val="24"/>
        </w:rPr>
        <w:t xml:space="preserve"> el total de </w:t>
      </w:r>
      <w:r w:rsidR="00012491">
        <w:rPr>
          <w:rFonts w:ascii="Arial" w:hAnsi="Arial" w:cs="Arial"/>
          <w:sz w:val="24"/>
          <w:szCs w:val="24"/>
        </w:rPr>
        <w:t xml:space="preserve">los conflictos sociales según la Defensoría del Pueblo eran 217, sin embargo la </w:t>
      </w:r>
      <w:r w:rsidR="002D2657">
        <w:rPr>
          <w:rFonts w:ascii="Arial" w:hAnsi="Arial" w:cs="Arial"/>
          <w:sz w:val="24"/>
          <w:szCs w:val="24"/>
        </w:rPr>
        <w:t xml:space="preserve">Oficina de Gestión de Conflictos Sociales de la </w:t>
      </w:r>
      <w:r w:rsidR="00012491">
        <w:rPr>
          <w:rFonts w:ascii="Arial" w:hAnsi="Arial" w:cs="Arial"/>
          <w:sz w:val="24"/>
          <w:szCs w:val="24"/>
        </w:rPr>
        <w:t>Presidencia del Consejo de Ministros (PCM)</w:t>
      </w:r>
      <w:r w:rsidR="002D2657">
        <w:rPr>
          <w:rFonts w:ascii="Arial" w:hAnsi="Arial" w:cs="Arial"/>
          <w:sz w:val="24"/>
          <w:szCs w:val="24"/>
        </w:rPr>
        <w:t xml:space="preserve"> registra 125 conflictos.</w:t>
      </w:r>
    </w:p>
    <w:p w:rsidR="00A150E2" w:rsidRPr="002E639B" w:rsidRDefault="00A150E2" w:rsidP="00A150E2">
      <w:pPr>
        <w:spacing w:after="0" w:line="360" w:lineRule="auto"/>
        <w:jc w:val="both"/>
        <w:rPr>
          <w:rFonts w:ascii="Arial" w:hAnsi="Arial" w:cs="Arial"/>
          <w:sz w:val="24"/>
          <w:szCs w:val="24"/>
        </w:rPr>
      </w:pPr>
    </w:p>
    <w:p w:rsidR="00A150E2" w:rsidRPr="002E639B" w:rsidRDefault="00A150E2" w:rsidP="00A150E2">
      <w:pPr>
        <w:spacing w:after="0" w:line="360" w:lineRule="auto"/>
        <w:jc w:val="both"/>
        <w:rPr>
          <w:rFonts w:ascii="Arial" w:hAnsi="Arial" w:cs="Arial"/>
          <w:sz w:val="24"/>
          <w:szCs w:val="24"/>
        </w:rPr>
      </w:pPr>
      <w:r w:rsidRPr="002E639B">
        <w:rPr>
          <w:rFonts w:ascii="Arial" w:hAnsi="Arial" w:cs="Arial"/>
          <w:sz w:val="24"/>
          <w:szCs w:val="24"/>
        </w:rPr>
        <w:t xml:space="preserve">El gráfico </w:t>
      </w:r>
      <w:r w:rsidR="00012491">
        <w:rPr>
          <w:rFonts w:ascii="Arial" w:hAnsi="Arial" w:cs="Arial"/>
          <w:sz w:val="24"/>
          <w:szCs w:val="24"/>
        </w:rPr>
        <w:t>X</w:t>
      </w:r>
      <w:r w:rsidRPr="002E639B">
        <w:rPr>
          <w:rFonts w:ascii="Arial" w:hAnsi="Arial" w:cs="Arial"/>
          <w:sz w:val="24"/>
          <w:szCs w:val="24"/>
        </w:rPr>
        <w:t xml:space="preserve"> muestra los conflictos reportados por la Defensoría del Pueblo des</w:t>
      </w:r>
      <w:r w:rsidR="00012491">
        <w:rPr>
          <w:rFonts w:ascii="Arial" w:hAnsi="Arial" w:cs="Arial"/>
          <w:sz w:val="24"/>
          <w:szCs w:val="24"/>
        </w:rPr>
        <w:t>de junio del 2010 a junio del 2011</w:t>
      </w:r>
      <w:r w:rsidRPr="002E639B">
        <w:rPr>
          <w:rFonts w:ascii="Arial" w:hAnsi="Arial" w:cs="Arial"/>
          <w:sz w:val="24"/>
          <w:szCs w:val="24"/>
        </w:rPr>
        <w:t xml:space="preserve">: </w:t>
      </w:r>
    </w:p>
    <w:p w:rsidR="00A150E2" w:rsidRPr="00656E8D" w:rsidRDefault="00A150E2" w:rsidP="00A150E2">
      <w:pPr>
        <w:spacing w:line="360" w:lineRule="auto"/>
        <w:ind w:firstLine="360"/>
        <w:jc w:val="center"/>
        <w:rPr>
          <w:b/>
          <w:bCs/>
          <w:sz w:val="24"/>
          <w:szCs w:val="24"/>
        </w:rPr>
      </w:pPr>
      <w:r w:rsidRPr="00656E8D">
        <w:rPr>
          <w:b/>
          <w:bCs/>
          <w:sz w:val="24"/>
          <w:szCs w:val="24"/>
        </w:rPr>
        <w:t xml:space="preserve">Gráfico </w:t>
      </w:r>
      <w:r w:rsidR="00012491">
        <w:rPr>
          <w:b/>
          <w:bCs/>
          <w:sz w:val="24"/>
          <w:szCs w:val="24"/>
        </w:rPr>
        <w:t>x</w:t>
      </w:r>
      <w:r w:rsidRPr="00656E8D">
        <w:rPr>
          <w:b/>
          <w:bCs/>
          <w:sz w:val="24"/>
          <w:szCs w:val="24"/>
        </w:rPr>
        <w:t>. Conflictos Sociales de 2004 al 2010</w:t>
      </w:r>
    </w:p>
    <w:p w:rsidR="00A150E2" w:rsidRPr="00656E8D" w:rsidRDefault="00012491" w:rsidP="002D2657">
      <w:pPr>
        <w:spacing w:line="240" w:lineRule="auto"/>
        <w:ind w:firstLine="360"/>
        <w:jc w:val="center"/>
        <w:rPr>
          <w:sz w:val="24"/>
          <w:szCs w:val="24"/>
        </w:rPr>
      </w:pPr>
      <w:r>
        <w:rPr>
          <w:noProof/>
        </w:rPr>
        <w:drawing>
          <wp:inline distT="0" distB="0" distL="0" distR="0" wp14:anchorId="77FA4F65" wp14:editId="58C4C88E">
            <wp:extent cx="5612130" cy="2317365"/>
            <wp:effectExtent l="0" t="0" r="26670" b="2603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50E2" w:rsidRDefault="00A150E2" w:rsidP="002D2657">
      <w:pPr>
        <w:spacing w:line="240" w:lineRule="auto"/>
        <w:ind w:firstLine="360"/>
        <w:jc w:val="center"/>
        <w:rPr>
          <w:color w:val="FF0000"/>
          <w:sz w:val="24"/>
          <w:szCs w:val="24"/>
        </w:rPr>
      </w:pPr>
      <w:r w:rsidRPr="00656E8D">
        <w:rPr>
          <w:sz w:val="24"/>
          <w:szCs w:val="24"/>
        </w:rPr>
        <w:t>Fuente: Defe</w:t>
      </w:r>
      <w:r w:rsidR="00012491">
        <w:rPr>
          <w:sz w:val="24"/>
          <w:szCs w:val="24"/>
        </w:rPr>
        <w:t xml:space="preserve">nsoría del Pueblo. Elaboración y PCM. Elaboración </w:t>
      </w:r>
      <w:r w:rsidRPr="00656E8D">
        <w:rPr>
          <w:sz w:val="24"/>
          <w:szCs w:val="24"/>
        </w:rPr>
        <w:t>Propia.</w:t>
      </w:r>
      <w:r>
        <w:rPr>
          <w:color w:val="FF0000"/>
          <w:sz w:val="24"/>
          <w:szCs w:val="24"/>
        </w:rPr>
        <w:t xml:space="preserve"> </w:t>
      </w:r>
    </w:p>
    <w:p w:rsidR="00D0271A" w:rsidRDefault="002D2657" w:rsidP="002D2657">
      <w:pPr>
        <w:spacing w:line="360" w:lineRule="auto"/>
        <w:jc w:val="both"/>
        <w:rPr>
          <w:rFonts w:ascii="Arial" w:hAnsi="Arial" w:cs="Arial"/>
          <w:sz w:val="24"/>
          <w:szCs w:val="24"/>
        </w:rPr>
      </w:pPr>
      <w:r w:rsidRPr="002D2657">
        <w:rPr>
          <w:rFonts w:ascii="Arial" w:hAnsi="Arial" w:cs="Arial"/>
          <w:sz w:val="24"/>
          <w:szCs w:val="24"/>
        </w:rPr>
        <w:t xml:space="preserve">Frente </w:t>
      </w:r>
      <w:r>
        <w:rPr>
          <w:rFonts w:ascii="Arial" w:hAnsi="Arial" w:cs="Arial"/>
          <w:sz w:val="24"/>
          <w:szCs w:val="24"/>
        </w:rPr>
        <w:t xml:space="preserve">a esta diferencia en el número de conflictos registrados se considera importante </w:t>
      </w:r>
      <w:r w:rsidR="003025D7">
        <w:rPr>
          <w:rFonts w:ascii="Arial" w:hAnsi="Arial" w:cs="Arial"/>
          <w:sz w:val="24"/>
          <w:szCs w:val="24"/>
        </w:rPr>
        <w:t xml:space="preserve">mencionar </w:t>
      </w:r>
      <w:r w:rsidR="00695EE5">
        <w:rPr>
          <w:rFonts w:ascii="Arial" w:hAnsi="Arial" w:cs="Arial"/>
          <w:sz w:val="24"/>
          <w:szCs w:val="24"/>
        </w:rPr>
        <w:t xml:space="preserve">dos </w:t>
      </w:r>
      <w:r w:rsidR="003025D7">
        <w:rPr>
          <w:rFonts w:ascii="Arial" w:hAnsi="Arial" w:cs="Arial"/>
          <w:sz w:val="24"/>
          <w:szCs w:val="24"/>
        </w:rPr>
        <w:t xml:space="preserve">ideas que podrían explicar dicha diferencia. En primer lugar </w:t>
      </w:r>
      <w:r w:rsidR="00695EE5">
        <w:rPr>
          <w:rFonts w:ascii="Arial" w:hAnsi="Arial" w:cs="Arial"/>
          <w:sz w:val="24"/>
          <w:szCs w:val="24"/>
        </w:rPr>
        <w:t xml:space="preserve">la categorización </w:t>
      </w:r>
      <w:r w:rsidR="00695EE5">
        <w:rPr>
          <w:rFonts w:ascii="Arial" w:hAnsi="Arial" w:cs="Arial"/>
          <w:sz w:val="24"/>
          <w:szCs w:val="24"/>
        </w:rPr>
        <w:t>según la causa del conflicto</w:t>
      </w:r>
      <w:r w:rsidR="00695EE5">
        <w:rPr>
          <w:rFonts w:ascii="Arial" w:hAnsi="Arial" w:cs="Arial"/>
          <w:sz w:val="24"/>
          <w:szCs w:val="24"/>
        </w:rPr>
        <w:t xml:space="preserve"> que utilizan ambas instituciones tienen algunas diferencias. En segundo lugar difieren en el tipo de la naturaleza del conflicto la PCM menciona tres tipos (prevención, tratamiento y seguimiento) mientras que la Defensoría menciona solo dos tipos (activos y latentes).</w:t>
      </w:r>
      <w:r w:rsidR="00D0271A">
        <w:rPr>
          <w:rFonts w:ascii="Arial" w:hAnsi="Arial" w:cs="Arial"/>
          <w:sz w:val="24"/>
          <w:szCs w:val="24"/>
        </w:rPr>
        <w:t xml:space="preserve"> </w:t>
      </w:r>
    </w:p>
    <w:p w:rsidR="002D2657" w:rsidRDefault="00D0271A" w:rsidP="002D2657">
      <w:pPr>
        <w:spacing w:line="360" w:lineRule="auto"/>
        <w:jc w:val="both"/>
        <w:rPr>
          <w:rFonts w:ascii="Arial" w:hAnsi="Arial" w:cs="Arial"/>
          <w:sz w:val="24"/>
          <w:szCs w:val="24"/>
        </w:rPr>
      </w:pPr>
      <w:r>
        <w:rPr>
          <w:rFonts w:ascii="Arial" w:hAnsi="Arial" w:cs="Arial"/>
          <w:sz w:val="24"/>
          <w:szCs w:val="24"/>
        </w:rPr>
        <w:t xml:space="preserve">Teniendo en cuenta estas diferencias se pude comprender mejor el análisis y el objetivo que cada entidad tiene. Se podría entender que la PCM al ser una entidad estatal centra su análisis con un objetivo de tratamiento y gestión de los conflictos </w:t>
      </w:r>
      <w:r>
        <w:rPr>
          <w:rFonts w:ascii="Arial" w:hAnsi="Arial" w:cs="Arial"/>
          <w:sz w:val="24"/>
          <w:szCs w:val="24"/>
        </w:rPr>
        <w:lastRenderedPageBreak/>
        <w:t>por lo cual su categorización es mucho más específica y desagregada teniendo incluso un nivel de priorización de acuerdo a la intensidad del conflicto. Por otro lado, la Defensoría del pueblo presenta solo dos tipos en la naturaleza del conflicto ya que el objetivo de dicha entidad sería informar, comunicar y sensibilizar lo que sucede a lo largo del país sin tener un objetivo operativo o “apaga incendios” directamente.</w:t>
      </w:r>
    </w:p>
    <w:p w:rsidR="00882F91" w:rsidRDefault="003025D7" w:rsidP="002D2657">
      <w:pPr>
        <w:spacing w:line="360" w:lineRule="auto"/>
        <w:jc w:val="both"/>
        <w:rPr>
          <w:rFonts w:ascii="Arial" w:hAnsi="Arial" w:cs="Arial"/>
          <w:sz w:val="24"/>
          <w:szCs w:val="24"/>
        </w:rPr>
      </w:pPr>
      <w:r>
        <w:rPr>
          <w:rFonts w:ascii="Arial" w:hAnsi="Arial" w:cs="Arial"/>
          <w:sz w:val="24"/>
          <w:szCs w:val="24"/>
        </w:rPr>
        <w:t>Finalmente en este libro se tomará como referencia a la Defensoría del Pueblo en materia del registro de los números de conflictos sociales, pues se considera que la cercanía que tiene esta identidad al presentar oficinas descentralizadas y de fácil acceso a la población puede evidenciar de mejor manera la percepción de las personas en relac</w:t>
      </w:r>
      <w:r w:rsidR="00882F91">
        <w:rPr>
          <w:rFonts w:ascii="Arial" w:hAnsi="Arial" w:cs="Arial"/>
          <w:sz w:val="24"/>
          <w:szCs w:val="24"/>
        </w:rPr>
        <w:t>ión con los conflictos sociales. Ronald Ibarra presidente de la Oficina de Gestión de Conflictos soci</w:t>
      </w:r>
      <w:r w:rsidR="004827F3">
        <w:rPr>
          <w:rFonts w:ascii="Arial" w:hAnsi="Arial" w:cs="Arial"/>
          <w:sz w:val="24"/>
          <w:szCs w:val="24"/>
        </w:rPr>
        <w:t>ales de la PCM en un artículo publicado el año 2011 menciona:</w:t>
      </w:r>
    </w:p>
    <w:p w:rsidR="004827F3" w:rsidRPr="004827F3" w:rsidRDefault="00882F91" w:rsidP="004827F3">
      <w:pPr>
        <w:spacing w:line="360" w:lineRule="auto"/>
        <w:ind w:left="567"/>
        <w:jc w:val="both"/>
        <w:rPr>
          <w:rFonts w:ascii="Arial" w:hAnsi="Arial" w:cs="Arial"/>
          <w:sz w:val="24"/>
          <w:szCs w:val="24"/>
        </w:rPr>
      </w:pPr>
      <w:r w:rsidRPr="004827F3">
        <w:rPr>
          <w:rFonts w:ascii="Arial" w:hAnsi="Arial" w:cs="Arial"/>
          <w:i/>
          <w:sz w:val="24"/>
          <w:szCs w:val="24"/>
        </w:rPr>
        <w:t>“</w:t>
      </w:r>
      <w:r w:rsidR="004827F3" w:rsidRPr="004827F3">
        <w:rPr>
          <w:rFonts w:ascii="Arial" w:hAnsi="Arial" w:cs="Arial"/>
          <w:i/>
          <w:sz w:val="24"/>
          <w:szCs w:val="24"/>
        </w:rPr>
        <w:t xml:space="preserve">la defensoría, </w:t>
      </w:r>
      <w:proofErr w:type="spellStart"/>
      <w:r w:rsidR="004827F3" w:rsidRPr="004827F3">
        <w:rPr>
          <w:rFonts w:ascii="Arial" w:hAnsi="Arial" w:cs="Arial"/>
          <w:i/>
          <w:sz w:val="24"/>
          <w:szCs w:val="24"/>
        </w:rPr>
        <w:t>constitucionaleme</w:t>
      </w:r>
      <w:r w:rsidR="004827F3" w:rsidRPr="004827F3">
        <w:rPr>
          <w:rFonts w:ascii="Arial" w:hAnsi="Arial" w:cs="Arial"/>
          <w:i/>
          <w:sz w:val="24"/>
          <w:szCs w:val="24"/>
        </w:rPr>
        <w:t>n</w:t>
      </w:r>
      <w:r w:rsidR="004827F3" w:rsidRPr="004827F3">
        <w:rPr>
          <w:rFonts w:ascii="Arial" w:hAnsi="Arial" w:cs="Arial"/>
          <w:i/>
          <w:sz w:val="24"/>
          <w:szCs w:val="24"/>
        </w:rPr>
        <w:t>te</w:t>
      </w:r>
      <w:proofErr w:type="spellEnd"/>
      <w:r w:rsidR="004827F3" w:rsidRPr="004827F3">
        <w:rPr>
          <w:rFonts w:ascii="Arial" w:hAnsi="Arial" w:cs="Arial"/>
          <w:i/>
          <w:sz w:val="24"/>
          <w:szCs w:val="24"/>
        </w:rPr>
        <w:t>, tiene un rol que desempeñar, y el reporte que emite mensualmente nos ayuda bastante, pues nos permite enterarnos de aquellos conflictos que lejanamente podríamos conocer, ya que cuenta con más de treinta dependencias a nivel nacional y obviamente eso le permite acumular bastante información</w:t>
      </w:r>
      <w:r w:rsidR="004827F3">
        <w:rPr>
          <w:rFonts w:ascii="Arial" w:hAnsi="Arial" w:cs="Arial"/>
          <w:i/>
          <w:sz w:val="24"/>
          <w:szCs w:val="24"/>
        </w:rPr>
        <w:t>”</w:t>
      </w:r>
      <w:r w:rsidR="004827F3">
        <w:rPr>
          <w:rStyle w:val="Refdenotaalpie"/>
          <w:rFonts w:ascii="Arial" w:hAnsi="Arial" w:cs="Arial"/>
          <w:i/>
          <w:sz w:val="24"/>
          <w:szCs w:val="24"/>
        </w:rPr>
        <w:footnoteReference w:id="2"/>
      </w:r>
    </w:p>
    <w:p w:rsidR="003025D7" w:rsidRDefault="00882F91" w:rsidP="002D2657">
      <w:pPr>
        <w:spacing w:line="360" w:lineRule="auto"/>
        <w:jc w:val="both"/>
        <w:rPr>
          <w:rFonts w:ascii="Arial" w:hAnsi="Arial" w:cs="Arial"/>
          <w:sz w:val="24"/>
          <w:szCs w:val="24"/>
        </w:rPr>
      </w:pPr>
      <w:r>
        <w:rPr>
          <w:rFonts w:ascii="Arial" w:hAnsi="Arial" w:cs="Arial"/>
          <w:sz w:val="24"/>
          <w:szCs w:val="24"/>
        </w:rPr>
        <w:t>D</w:t>
      </w:r>
      <w:r w:rsidR="003025D7">
        <w:rPr>
          <w:rFonts w:ascii="Arial" w:hAnsi="Arial" w:cs="Arial"/>
          <w:sz w:val="24"/>
          <w:szCs w:val="24"/>
        </w:rPr>
        <w:t>e igual manera al ser una entidad autónoma e independiente al Estado le permite informar y difundir el número de conflicto</w:t>
      </w:r>
      <w:r>
        <w:rPr>
          <w:rFonts w:ascii="Arial" w:hAnsi="Arial" w:cs="Arial"/>
          <w:sz w:val="24"/>
          <w:szCs w:val="24"/>
        </w:rPr>
        <w:t>s sin tener ninguna presión ext</w:t>
      </w:r>
      <w:r w:rsidR="003025D7">
        <w:rPr>
          <w:rFonts w:ascii="Arial" w:hAnsi="Arial" w:cs="Arial"/>
          <w:sz w:val="24"/>
          <w:szCs w:val="24"/>
        </w:rPr>
        <w:t>e</w:t>
      </w:r>
      <w:r>
        <w:rPr>
          <w:rFonts w:ascii="Arial" w:hAnsi="Arial" w:cs="Arial"/>
          <w:sz w:val="24"/>
          <w:szCs w:val="24"/>
        </w:rPr>
        <w:t>r</w:t>
      </w:r>
      <w:r w:rsidR="003025D7">
        <w:rPr>
          <w:rFonts w:ascii="Arial" w:hAnsi="Arial" w:cs="Arial"/>
          <w:sz w:val="24"/>
          <w:szCs w:val="24"/>
        </w:rPr>
        <w:t>na.</w:t>
      </w:r>
      <w:r>
        <w:rPr>
          <w:rFonts w:ascii="Arial" w:hAnsi="Arial" w:cs="Arial"/>
          <w:sz w:val="24"/>
          <w:szCs w:val="24"/>
        </w:rPr>
        <w:t xml:space="preserve"> </w:t>
      </w:r>
      <w:r w:rsidR="00D0271A">
        <w:rPr>
          <w:rFonts w:ascii="Arial" w:hAnsi="Arial" w:cs="Arial"/>
          <w:sz w:val="24"/>
          <w:szCs w:val="24"/>
        </w:rPr>
        <w:t xml:space="preserve">La Defensoría del Pueblo </w:t>
      </w:r>
      <w:r>
        <w:rPr>
          <w:rFonts w:ascii="Arial" w:hAnsi="Arial" w:cs="Arial"/>
          <w:sz w:val="24"/>
          <w:szCs w:val="24"/>
        </w:rPr>
        <w:t>ha sido elegida</w:t>
      </w:r>
      <w:r w:rsidR="00D0271A">
        <w:rPr>
          <w:rFonts w:ascii="Arial" w:hAnsi="Arial" w:cs="Arial"/>
          <w:sz w:val="24"/>
          <w:szCs w:val="24"/>
        </w:rPr>
        <w:t xml:space="preserve"> como fuente de registro de conflictos</w:t>
      </w:r>
      <w:r>
        <w:rPr>
          <w:rFonts w:ascii="Arial" w:hAnsi="Arial" w:cs="Arial"/>
          <w:sz w:val="24"/>
          <w:szCs w:val="24"/>
        </w:rPr>
        <w:t xml:space="preserve"> ya que se considera que es la que más se adecua a los objetivos del libro, entre </w:t>
      </w:r>
      <w:r w:rsidR="00D0271A">
        <w:rPr>
          <w:rFonts w:ascii="Arial" w:hAnsi="Arial" w:cs="Arial"/>
          <w:sz w:val="24"/>
          <w:szCs w:val="24"/>
        </w:rPr>
        <w:t xml:space="preserve">los cuales está </w:t>
      </w:r>
      <w:r>
        <w:rPr>
          <w:rFonts w:ascii="Arial" w:hAnsi="Arial" w:cs="Arial"/>
          <w:sz w:val="24"/>
          <w:szCs w:val="24"/>
        </w:rPr>
        <w:t>el hecho de sensibilizar y dar la importancia necesaria al origen, causas y consecuencias de los conflictos sociales en el Perú</w:t>
      </w:r>
      <w:r w:rsidR="00740BCD">
        <w:rPr>
          <w:rFonts w:ascii="Arial" w:hAnsi="Arial" w:cs="Arial"/>
          <w:sz w:val="24"/>
          <w:szCs w:val="24"/>
        </w:rPr>
        <w:t>. De este</w:t>
      </w:r>
      <w:r>
        <w:rPr>
          <w:rFonts w:ascii="Arial" w:hAnsi="Arial" w:cs="Arial"/>
          <w:sz w:val="24"/>
          <w:szCs w:val="24"/>
        </w:rPr>
        <w:t xml:space="preserve"> modo al presentarse un número razonablemente grande de conflictos registrados se les da la relevancia que amerita dejándolos de minimizarlos como actualmente se les hace. Así mismo, se considera que no se cae en un alarmismo como algunas personas lo consideran sino que por el contrario se recurre a un realismo que es necesario para poder ser conscientes de la naturaleza de los hechos.</w:t>
      </w:r>
    </w:p>
    <w:p w:rsidR="003025D7" w:rsidRPr="002D2657" w:rsidRDefault="003025D7" w:rsidP="002D2657">
      <w:pPr>
        <w:spacing w:line="360" w:lineRule="auto"/>
        <w:jc w:val="both"/>
        <w:rPr>
          <w:rFonts w:ascii="Arial" w:hAnsi="Arial" w:cs="Arial"/>
          <w:sz w:val="24"/>
          <w:szCs w:val="24"/>
        </w:rPr>
      </w:pPr>
    </w:p>
    <w:p w:rsidR="00A150E2" w:rsidRPr="008F79F1" w:rsidRDefault="008F79F1" w:rsidP="002E639B">
      <w:pPr>
        <w:spacing w:after="0" w:line="360" w:lineRule="auto"/>
        <w:jc w:val="both"/>
        <w:rPr>
          <w:rFonts w:ascii="Arial" w:hAnsi="Arial" w:cs="Arial"/>
          <w:b/>
          <w:i/>
          <w:sz w:val="24"/>
          <w:szCs w:val="24"/>
        </w:rPr>
      </w:pPr>
      <w:r>
        <w:rPr>
          <w:rFonts w:ascii="Arial" w:hAnsi="Arial" w:cs="Arial"/>
          <w:b/>
          <w:i/>
          <w:sz w:val="24"/>
          <w:szCs w:val="24"/>
        </w:rPr>
        <w:t>“El mundo es un pañuelo”… de lágrimas</w:t>
      </w:r>
    </w:p>
    <w:p w:rsidR="008F79F1" w:rsidRDefault="008F79F1" w:rsidP="002E639B">
      <w:pPr>
        <w:spacing w:after="0" w:line="360" w:lineRule="auto"/>
        <w:jc w:val="both"/>
        <w:rPr>
          <w:rFonts w:ascii="Arial" w:hAnsi="Arial" w:cs="Arial"/>
          <w:sz w:val="24"/>
          <w:szCs w:val="24"/>
        </w:rPr>
      </w:pPr>
    </w:p>
    <w:p w:rsidR="008C33A6" w:rsidRDefault="00E1209F" w:rsidP="002E639B">
      <w:pPr>
        <w:spacing w:after="0" w:line="360" w:lineRule="auto"/>
        <w:jc w:val="both"/>
        <w:rPr>
          <w:rFonts w:ascii="Arial" w:hAnsi="Arial" w:cs="Arial"/>
          <w:sz w:val="24"/>
          <w:szCs w:val="24"/>
        </w:rPr>
      </w:pPr>
      <w:r w:rsidRPr="002E639B">
        <w:rPr>
          <w:rFonts w:ascii="Arial" w:hAnsi="Arial" w:cs="Arial"/>
          <w:sz w:val="24"/>
          <w:szCs w:val="24"/>
        </w:rPr>
        <w:t xml:space="preserve">Cuando se profundiza en el entendimiento de cualquier realidad, con transparencia y mitigada pasión política y/o económica, las respuestas del por qué de los problemas y las potenciales soluciones de estos, resultan mucho más fáciles de </w:t>
      </w:r>
      <w:r w:rsidR="008C33A6" w:rsidRPr="002E639B">
        <w:rPr>
          <w:rFonts w:ascii="Arial" w:hAnsi="Arial" w:cs="Arial"/>
          <w:sz w:val="24"/>
          <w:szCs w:val="24"/>
        </w:rPr>
        <w:t>dilucidar. El P</w:t>
      </w:r>
      <w:r w:rsidR="008F79F1">
        <w:rPr>
          <w:rFonts w:ascii="Arial" w:hAnsi="Arial" w:cs="Arial"/>
          <w:sz w:val="24"/>
          <w:szCs w:val="24"/>
        </w:rPr>
        <w:t xml:space="preserve">erú </w:t>
      </w:r>
      <w:r w:rsidR="008C33A6" w:rsidRPr="002E639B">
        <w:rPr>
          <w:rFonts w:ascii="Arial" w:hAnsi="Arial" w:cs="Arial"/>
          <w:sz w:val="24"/>
          <w:szCs w:val="24"/>
        </w:rPr>
        <w:t xml:space="preserve">es un fiel reflejo de lo que viene pasando </w:t>
      </w:r>
      <w:r w:rsidR="00E46E3D" w:rsidRPr="002E639B">
        <w:rPr>
          <w:rFonts w:ascii="Arial" w:hAnsi="Arial" w:cs="Arial"/>
          <w:sz w:val="24"/>
          <w:szCs w:val="24"/>
        </w:rPr>
        <w:t>en el mundo. Un planeta</w:t>
      </w:r>
      <w:r w:rsidR="008C33A6" w:rsidRPr="002E639B">
        <w:rPr>
          <w:rFonts w:ascii="Arial" w:hAnsi="Arial" w:cs="Arial"/>
          <w:sz w:val="24"/>
          <w:szCs w:val="24"/>
        </w:rPr>
        <w:t xml:space="preserve"> cada vez más globalizado,</w:t>
      </w:r>
      <w:r w:rsidR="00E46E3D" w:rsidRPr="002E639B">
        <w:rPr>
          <w:rFonts w:ascii="Arial" w:hAnsi="Arial" w:cs="Arial"/>
          <w:sz w:val="24"/>
          <w:szCs w:val="24"/>
        </w:rPr>
        <w:t xml:space="preserve"> donde</w:t>
      </w:r>
      <w:r w:rsidR="008C33A6" w:rsidRPr="002E639B">
        <w:rPr>
          <w:rFonts w:ascii="Arial" w:hAnsi="Arial" w:cs="Arial"/>
          <w:sz w:val="24"/>
          <w:szCs w:val="24"/>
        </w:rPr>
        <w:t xml:space="preserve"> el desequilibrio generado por la mala administración de los recursos ya no tiene</w:t>
      </w:r>
      <w:r w:rsidR="00E46E3D" w:rsidRPr="002E639B">
        <w:rPr>
          <w:rFonts w:ascii="Arial" w:hAnsi="Arial" w:cs="Arial"/>
          <w:sz w:val="24"/>
          <w:szCs w:val="24"/>
        </w:rPr>
        <w:t xml:space="preserve"> fronteras,</w:t>
      </w:r>
      <w:r w:rsidR="002E639B" w:rsidRPr="002E639B">
        <w:rPr>
          <w:rFonts w:ascii="Arial" w:hAnsi="Arial" w:cs="Arial"/>
          <w:sz w:val="24"/>
          <w:szCs w:val="24"/>
        </w:rPr>
        <w:t xml:space="preserve"> ni absolutos privilegiados</w:t>
      </w:r>
      <w:r w:rsidR="00E46E3D" w:rsidRPr="002E639B">
        <w:rPr>
          <w:rFonts w:ascii="Arial" w:hAnsi="Arial" w:cs="Arial"/>
          <w:sz w:val="24"/>
          <w:szCs w:val="24"/>
        </w:rPr>
        <w:t xml:space="preserve">. </w:t>
      </w:r>
    </w:p>
    <w:p w:rsidR="002E639B" w:rsidRPr="002E639B" w:rsidRDefault="002E639B" w:rsidP="002E639B">
      <w:pPr>
        <w:spacing w:after="0" w:line="360" w:lineRule="auto"/>
        <w:jc w:val="both"/>
        <w:rPr>
          <w:rFonts w:ascii="Arial" w:hAnsi="Arial" w:cs="Arial"/>
          <w:sz w:val="24"/>
          <w:szCs w:val="24"/>
        </w:rPr>
      </w:pPr>
    </w:p>
    <w:p w:rsidR="00E1209F" w:rsidRDefault="00E1209F" w:rsidP="002E639B">
      <w:pPr>
        <w:spacing w:after="0" w:line="360" w:lineRule="auto"/>
        <w:jc w:val="both"/>
        <w:rPr>
          <w:rFonts w:ascii="Arial" w:hAnsi="Arial" w:cs="Arial"/>
          <w:sz w:val="24"/>
          <w:szCs w:val="24"/>
        </w:rPr>
      </w:pPr>
      <w:r w:rsidRPr="002E639B">
        <w:rPr>
          <w:rFonts w:ascii="Arial" w:hAnsi="Arial" w:cs="Arial"/>
          <w:sz w:val="24"/>
          <w:szCs w:val="24"/>
        </w:rPr>
        <w:t>En un reciente artículo escrito p</w:t>
      </w:r>
      <w:r w:rsidR="00E46E3D" w:rsidRPr="002E639B">
        <w:rPr>
          <w:rFonts w:ascii="Arial" w:hAnsi="Arial" w:cs="Arial"/>
          <w:sz w:val="24"/>
          <w:szCs w:val="24"/>
        </w:rPr>
        <w:t xml:space="preserve">or Peter Drucker y Mark </w:t>
      </w:r>
      <w:proofErr w:type="spellStart"/>
      <w:r w:rsidR="00E46E3D" w:rsidRPr="002E639B">
        <w:rPr>
          <w:rFonts w:ascii="Arial" w:hAnsi="Arial" w:cs="Arial"/>
          <w:sz w:val="24"/>
          <w:szCs w:val="24"/>
        </w:rPr>
        <w:t>Kramer</w:t>
      </w:r>
      <w:proofErr w:type="spellEnd"/>
      <w:r w:rsidR="00E46E3D" w:rsidRPr="002E639B">
        <w:rPr>
          <w:rFonts w:ascii="Arial" w:hAnsi="Arial" w:cs="Arial"/>
          <w:sz w:val="24"/>
          <w:szCs w:val="24"/>
        </w:rPr>
        <w:t xml:space="preserve"> “</w:t>
      </w:r>
      <w:r w:rsidRPr="002E639B">
        <w:rPr>
          <w:rFonts w:ascii="Arial" w:hAnsi="Arial" w:cs="Arial"/>
          <w:sz w:val="24"/>
          <w:szCs w:val="24"/>
        </w:rPr>
        <w:t>La creación de valor compartido</w:t>
      </w:r>
      <w:r w:rsidR="00E46E3D" w:rsidRPr="002E639B">
        <w:rPr>
          <w:rFonts w:ascii="Arial" w:hAnsi="Arial" w:cs="Arial"/>
          <w:sz w:val="24"/>
          <w:szCs w:val="24"/>
        </w:rPr>
        <w:t>” publicado por la primera edición del 2011 de</w:t>
      </w:r>
      <w:r w:rsidRPr="002E639B">
        <w:rPr>
          <w:rFonts w:ascii="Arial" w:hAnsi="Arial" w:cs="Arial"/>
          <w:sz w:val="24"/>
          <w:szCs w:val="24"/>
        </w:rPr>
        <w:t xml:space="preserve"> Harvard Busine</w:t>
      </w:r>
      <w:r w:rsidR="00E46E3D" w:rsidRPr="002E639B">
        <w:rPr>
          <w:rFonts w:ascii="Arial" w:hAnsi="Arial" w:cs="Arial"/>
          <w:sz w:val="24"/>
          <w:szCs w:val="24"/>
        </w:rPr>
        <w:t xml:space="preserve">ss </w:t>
      </w:r>
      <w:proofErr w:type="spellStart"/>
      <w:r w:rsidR="00E46E3D" w:rsidRPr="002E639B">
        <w:rPr>
          <w:rFonts w:ascii="Arial" w:hAnsi="Arial" w:cs="Arial"/>
          <w:sz w:val="24"/>
          <w:szCs w:val="24"/>
        </w:rPr>
        <w:t>Review</w:t>
      </w:r>
      <w:proofErr w:type="spellEnd"/>
      <w:r w:rsidR="00E42B32" w:rsidRPr="002E639B">
        <w:rPr>
          <w:rFonts w:ascii="Arial" w:hAnsi="Arial" w:cs="Arial"/>
          <w:sz w:val="24"/>
          <w:szCs w:val="24"/>
        </w:rPr>
        <w:t xml:space="preserve">, </w:t>
      </w:r>
      <w:r w:rsidR="00E46E3D" w:rsidRPr="002E639B">
        <w:rPr>
          <w:rFonts w:ascii="Arial" w:hAnsi="Arial" w:cs="Arial"/>
          <w:sz w:val="24"/>
          <w:szCs w:val="24"/>
        </w:rPr>
        <w:t xml:space="preserve">se </w:t>
      </w:r>
      <w:r w:rsidR="002E639B" w:rsidRPr="002E639B">
        <w:rPr>
          <w:rFonts w:ascii="Arial" w:hAnsi="Arial" w:cs="Arial"/>
          <w:sz w:val="24"/>
          <w:szCs w:val="24"/>
        </w:rPr>
        <w:t>expone</w:t>
      </w:r>
      <w:r w:rsidR="00E46E3D" w:rsidRPr="002E639B">
        <w:rPr>
          <w:rFonts w:ascii="Arial" w:hAnsi="Arial" w:cs="Arial"/>
          <w:sz w:val="24"/>
          <w:szCs w:val="24"/>
        </w:rPr>
        <w:t xml:space="preserve"> el </w:t>
      </w:r>
      <w:r w:rsidR="002E639B" w:rsidRPr="002E639B">
        <w:rPr>
          <w:rFonts w:ascii="Arial" w:hAnsi="Arial" w:cs="Arial"/>
          <w:sz w:val="24"/>
          <w:szCs w:val="24"/>
        </w:rPr>
        <w:t>conjunto de problemas de</w:t>
      </w:r>
      <w:r w:rsidRPr="002E639B">
        <w:rPr>
          <w:rFonts w:ascii="Arial" w:hAnsi="Arial" w:cs="Arial"/>
          <w:sz w:val="24"/>
          <w:szCs w:val="24"/>
        </w:rPr>
        <w:t xml:space="preserve"> </w:t>
      </w:r>
      <w:r w:rsidR="00E46E3D" w:rsidRPr="002E639B">
        <w:rPr>
          <w:rFonts w:ascii="Arial" w:hAnsi="Arial" w:cs="Arial"/>
          <w:sz w:val="24"/>
          <w:szCs w:val="24"/>
        </w:rPr>
        <w:t>lo que a la vist</w:t>
      </w:r>
      <w:r w:rsidR="002E639B" w:rsidRPr="002E639B">
        <w:rPr>
          <w:rFonts w:ascii="Arial" w:hAnsi="Arial" w:cs="Arial"/>
          <w:sz w:val="24"/>
          <w:szCs w:val="24"/>
        </w:rPr>
        <w:t xml:space="preserve">a de estos </w:t>
      </w:r>
      <w:r w:rsidR="00E46E3D" w:rsidRPr="002E639B">
        <w:rPr>
          <w:rFonts w:ascii="Arial" w:hAnsi="Arial" w:cs="Arial"/>
          <w:sz w:val="24"/>
          <w:szCs w:val="24"/>
        </w:rPr>
        <w:t xml:space="preserve">especialistas constituye </w:t>
      </w:r>
      <w:r w:rsidRPr="002E639B">
        <w:rPr>
          <w:rFonts w:ascii="Arial" w:hAnsi="Arial" w:cs="Arial"/>
          <w:sz w:val="24"/>
          <w:szCs w:val="24"/>
        </w:rPr>
        <w:t xml:space="preserve">el </w:t>
      </w:r>
      <w:r w:rsidR="00E46E3D" w:rsidRPr="002E639B">
        <w:rPr>
          <w:rFonts w:ascii="Arial" w:hAnsi="Arial" w:cs="Arial"/>
          <w:sz w:val="24"/>
          <w:szCs w:val="24"/>
        </w:rPr>
        <w:t>resultado de un sistema económico mundial en colapso</w:t>
      </w:r>
      <w:r w:rsidR="002E639B" w:rsidRPr="002E639B">
        <w:rPr>
          <w:rFonts w:ascii="Arial" w:hAnsi="Arial" w:cs="Arial"/>
          <w:sz w:val="24"/>
          <w:szCs w:val="24"/>
        </w:rPr>
        <w:t>, el culpable de ello,</w:t>
      </w:r>
      <w:r w:rsidR="00E46E3D" w:rsidRPr="002E639B">
        <w:rPr>
          <w:rFonts w:ascii="Arial" w:hAnsi="Arial" w:cs="Arial"/>
          <w:sz w:val="24"/>
          <w:szCs w:val="24"/>
        </w:rPr>
        <w:t xml:space="preserve"> </w:t>
      </w:r>
      <w:r w:rsidR="002E639B" w:rsidRPr="002E639B">
        <w:rPr>
          <w:rFonts w:ascii="Arial" w:hAnsi="Arial" w:cs="Arial"/>
          <w:sz w:val="24"/>
          <w:szCs w:val="24"/>
        </w:rPr>
        <w:t xml:space="preserve">el </w:t>
      </w:r>
      <w:r w:rsidRPr="002E639B">
        <w:rPr>
          <w:rFonts w:ascii="Arial" w:hAnsi="Arial" w:cs="Arial"/>
          <w:sz w:val="24"/>
          <w:szCs w:val="24"/>
        </w:rPr>
        <w:t>cap</w:t>
      </w:r>
      <w:r w:rsidR="002E639B" w:rsidRPr="002E639B">
        <w:rPr>
          <w:rFonts w:ascii="Arial" w:hAnsi="Arial" w:cs="Arial"/>
          <w:sz w:val="24"/>
          <w:szCs w:val="24"/>
        </w:rPr>
        <w:t xml:space="preserve">italismo. La visión más tradicional del modelo capitalista, de definir de </w:t>
      </w:r>
      <w:r w:rsidRPr="002E639B">
        <w:rPr>
          <w:rFonts w:ascii="Arial" w:hAnsi="Arial" w:cs="Arial"/>
          <w:sz w:val="24"/>
          <w:szCs w:val="24"/>
        </w:rPr>
        <w:t xml:space="preserve">manera categórica e </w:t>
      </w:r>
      <w:r w:rsidR="002E639B" w:rsidRPr="002E639B">
        <w:rPr>
          <w:rFonts w:ascii="Arial" w:hAnsi="Arial" w:cs="Arial"/>
          <w:sz w:val="24"/>
          <w:szCs w:val="24"/>
        </w:rPr>
        <w:t>incuestionable</w:t>
      </w:r>
      <w:r w:rsidRPr="002E639B">
        <w:rPr>
          <w:rFonts w:ascii="Arial" w:hAnsi="Arial" w:cs="Arial"/>
          <w:sz w:val="24"/>
          <w:szCs w:val="24"/>
        </w:rPr>
        <w:t xml:space="preserve"> que el fin excl</w:t>
      </w:r>
      <w:r w:rsidR="00E42B32" w:rsidRPr="002E639B">
        <w:rPr>
          <w:rFonts w:ascii="Arial" w:hAnsi="Arial" w:cs="Arial"/>
          <w:sz w:val="24"/>
          <w:szCs w:val="24"/>
        </w:rPr>
        <w:t xml:space="preserve">uyente de toda empresa es </w:t>
      </w:r>
      <w:r w:rsidRPr="002E639B">
        <w:rPr>
          <w:rFonts w:ascii="Arial" w:hAnsi="Arial" w:cs="Arial"/>
          <w:sz w:val="24"/>
          <w:szCs w:val="24"/>
        </w:rPr>
        <w:t>maximizar el valor para sus accionistas, inclusive cuando ello pueda implicar obviar o ignorar las necesidades del entorno</w:t>
      </w:r>
      <w:r w:rsidR="002E639B" w:rsidRPr="002E639B">
        <w:rPr>
          <w:rFonts w:ascii="Arial" w:hAnsi="Arial" w:cs="Arial"/>
          <w:sz w:val="24"/>
          <w:szCs w:val="24"/>
        </w:rPr>
        <w:t>, sería desde la perspectiva de la mencionada publicación, el origen de aquellos problemas</w:t>
      </w:r>
      <w:r w:rsidRPr="002E639B">
        <w:rPr>
          <w:rFonts w:ascii="Arial" w:hAnsi="Arial" w:cs="Arial"/>
          <w:sz w:val="24"/>
          <w:szCs w:val="24"/>
        </w:rPr>
        <w:t>.</w:t>
      </w:r>
    </w:p>
    <w:p w:rsidR="004B4CBE" w:rsidRPr="002E639B" w:rsidRDefault="004B4CBE" w:rsidP="002E639B">
      <w:pPr>
        <w:spacing w:after="0" w:line="360" w:lineRule="auto"/>
        <w:jc w:val="both"/>
        <w:rPr>
          <w:rFonts w:ascii="Arial" w:hAnsi="Arial" w:cs="Arial"/>
          <w:sz w:val="24"/>
          <w:szCs w:val="24"/>
        </w:rPr>
      </w:pPr>
    </w:p>
    <w:p w:rsidR="002E639B" w:rsidRPr="002E639B" w:rsidRDefault="00E1209F" w:rsidP="002E639B">
      <w:pPr>
        <w:spacing w:after="0" w:line="360" w:lineRule="auto"/>
        <w:jc w:val="both"/>
        <w:rPr>
          <w:rFonts w:ascii="Arial" w:hAnsi="Arial" w:cs="Arial"/>
          <w:sz w:val="24"/>
          <w:szCs w:val="24"/>
        </w:rPr>
      </w:pPr>
      <w:r w:rsidRPr="002E639B">
        <w:rPr>
          <w:rFonts w:ascii="Arial" w:hAnsi="Arial" w:cs="Arial"/>
          <w:sz w:val="24"/>
          <w:szCs w:val="24"/>
        </w:rPr>
        <w:t xml:space="preserve">“Las necesidades de la </w:t>
      </w:r>
      <w:r w:rsidR="002E639B" w:rsidRPr="002E639B">
        <w:rPr>
          <w:rFonts w:ascii="Arial" w:hAnsi="Arial" w:cs="Arial"/>
          <w:sz w:val="24"/>
          <w:szCs w:val="24"/>
        </w:rPr>
        <w:t>s</w:t>
      </w:r>
      <w:r w:rsidRPr="002E639B">
        <w:rPr>
          <w:rFonts w:ascii="Arial" w:hAnsi="Arial" w:cs="Arial"/>
          <w:sz w:val="24"/>
          <w:szCs w:val="24"/>
        </w:rPr>
        <w:t>ociedad, y no sólo las necesidades económicas convencionales, son las que definen los mercados, y los males de la sociedad pueden crear costo</w:t>
      </w:r>
      <w:r w:rsidR="002E639B" w:rsidRPr="002E639B">
        <w:rPr>
          <w:rFonts w:ascii="Arial" w:hAnsi="Arial" w:cs="Arial"/>
          <w:sz w:val="24"/>
          <w:szCs w:val="24"/>
        </w:rPr>
        <w:t>s internos</w:t>
      </w:r>
      <w:r w:rsidR="006236F7">
        <w:rPr>
          <w:rFonts w:ascii="Arial" w:hAnsi="Arial" w:cs="Arial"/>
          <w:sz w:val="24"/>
          <w:szCs w:val="24"/>
        </w:rPr>
        <w:t xml:space="preserve"> para las empresas” afirman </w:t>
      </w:r>
      <w:proofErr w:type="spellStart"/>
      <w:r w:rsidR="006236F7">
        <w:rPr>
          <w:rFonts w:ascii="Arial" w:hAnsi="Arial" w:cs="Arial"/>
          <w:sz w:val="24"/>
          <w:szCs w:val="24"/>
        </w:rPr>
        <w:t>Porter</w:t>
      </w:r>
      <w:proofErr w:type="spellEnd"/>
      <w:r w:rsidR="006236F7">
        <w:rPr>
          <w:rFonts w:ascii="Arial" w:hAnsi="Arial" w:cs="Arial"/>
          <w:sz w:val="24"/>
          <w:szCs w:val="24"/>
        </w:rPr>
        <w:t xml:space="preserve"> y </w:t>
      </w:r>
      <w:proofErr w:type="spellStart"/>
      <w:r w:rsidR="006236F7">
        <w:rPr>
          <w:rFonts w:ascii="Arial" w:hAnsi="Arial" w:cs="Arial"/>
          <w:sz w:val="24"/>
          <w:szCs w:val="24"/>
        </w:rPr>
        <w:t>Kramer</w:t>
      </w:r>
      <w:proofErr w:type="spellEnd"/>
      <w:r w:rsidR="006236F7">
        <w:rPr>
          <w:rFonts w:ascii="Arial" w:hAnsi="Arial" w:cs="Arial"/>
          <w:sz w:val="24"/>
          <w:szCs w:val="24"/>
        </w:rPr>
        <w:t xml:space="preserve">. Y tienen mucha razón, no solo a la vista de la historia de los conflictos sociales del Perú, sino ante las evidencias de los conflictos que hoy en día impactan el orbe, resultaría irracional </w:t>
      </w:r>
      <w:r w:rsidR="008F79F1">
        <w:rPr>
          <w:rFonts w:ascii="Arial" w:hAnsi="Arial" w:cs="Arial"/>
          <w:sz w:val="24"/>
          <w:szCs w:val="24"/>
        </w:rPr>
        <w:t xml:space="preserve">considerar </w:t>
      </w:r>
      <w:r w:rsidR="006236F7">
        <w:rPr>
          <w:rFonts w:ascii="Arial" w:hAnsi="Arial" w:cs="Arial"/>
          <w:sz w:val="24"/>
          <w:szCs w:val="24"/>
        </w:rPr>
        <w:t xml:space="preserve">que el actual modelo económico imperante </w:t>
      </w:r>
      <w:r w:rsidR="008C574C">
        <w:rPr>
          <w:rFonts w:ascii="Arial" w:hAnsi="Arial" w:cs="Arial"/>
          <w:sz w:val="24"/>
          <w:szCs w:val="24"/>
        </w:rPr>
        <w:t>está siendo gestionado de manera eficaz.</w:t>
      </w:r>
    </w:p>
    <w:p w:rsidR="004B4CBE" w:rsidRDefault="004B4CBE" w:rsidP="004B4CBE">
      <w:pPr>
        <w:spacing w:after="0" w:line="360" w:lineRule="auto"/>
        <w:jc w:val="both"/>
        <w:rPr>
          <w:rFonts w:ascii="Arial" w:hAnsi="Arial" w:cs="Arial"/>
          <w:color w:val="FF0000"/>
          <w:sz w:val="24"/>
          <w:szCs w:val="24"/>
        </w:rPr>
      </w:pPr>
    </w:p>
    <w:p w:rsidR="002E639B" w:rsidRDefault="00D34D51" w:rsidP="00D34D51">
      <w:pPr>
        <w:spacing w:after="0" w:line="360" w:lineRule="auto"/>
        <w:jc w:val="center"/>
        <w:rPr>
          <w:rFonts w:ascii="Arial" w:hAnsi="Arial" w:cs="Arial"/>
          <w:sz w:val="24"/>
          <w:szCs w:val="24"/>
        </w:rPr>
      </w:pPr>
      <w:bookmarkStart w:id="0" w:name="_GoBack"/>
      <w:r>
        <w:rPr>
          <w:noProof/>
        </w:rPr>
        <w:lastRenderedPageBreak/>
        <w:drawing>
          <wp:inline distT="0" distB="0" distL="0" distR="0" wp14:anchorId="10115482" wp14:editId="03E3B39B">
            <wp:extent cx="4196444" cy="2466754"/>
            <wp:effectExtent l="0" t="0" r="0" b="0"/>
            <wp:docPr id="4" name="Imagen 4" descr="http://conecti.ca/wp-content/uploads/2011/08/london-ri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necti.ca/wp-content/uploads/2011/08/london-rio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7293" cy="2479010"/>
                    </a:xfrm>
                    <a:prstGeom prst="rect">
                      <a:avLst/>
                    </a:prstGeom>
                    <a:noFill/>
                    <a:ln>
                      <a:noFill/>
                    </a:ln>
                  </pic:spPr>
                </pic:pic>
              </a:graphicData>
            </a:graphic>
          </wp:inline>
        </w:drawing>
      </w:r>
      <w:bookmarkEnd w:id="0"/>
    </w:p>
    <w:p w:rsidR="00D34D51" w:rsidRDefault="00D34D51" w:rsidP="00D34D51">
      <w:pPr>
        <w:spacing w:after="0" w:line="360" w:lineRule="auto"/>
        <w:jc w:val="center"/>
        <w:rPr>
          <w:rFonts w:ascii="Arial" w:hAnsi="Arial" w:cs="Arial"/>
          <w:sz w:val="18"/>
          <w:szCs w:val="24"/>
        </w:rPr>
      </w:pPr>
      <w:r>
        <w:rPr>
          <w:rFonts w:ascii="Arial" w:hAnsi="Arial" w:cs="Arial"/>
          <w:sz w:val="20"/>
          <w:szCs w:val="24"/>
        </w:rPr>
        <w:t>Imagen de revuelta en Londres Agosto 2011</w:t>
      </w:r>
    </w:p>
    <w:p w:rsidR="00D34D51" w:rsidRPr="00D34D51" w:rsidRDefault="00D34D51" w:rsidP="00D34D51">
      <w:pPr>
        <w:spacing w:after="0" w:line="360" w:lineRule="auto"/>
        <w:jc w:val="center"/>
        <w:rPr>
          <w:rFonts w:ascii="Arial" w:hAnsi="Arial" w:cs="Arial"/>
          <w:sz w:val="18"/>
          <w:szCs w:val="24"/>
        </w:rPr>
      </w:pPr>
    </w:p>
    <w:p w:rsidR="008C574C" w:rsidRDefault="008C574C" w:rsidP="002E639B">
      <w:pPr>
        <w:spacing w:after="0" w:line="360" w:lineRule="auto"/>
        <w:jc w:val="both"/>
        <w:rPr>
          <w:rFonts w:ascii="Arial" w:hAnsi="Arial" w:cs="Arial"/>
          <w:sz w:val="24"/>
          <w:szCs w:val="24"/>
        </w:rPr>
      </w:pPr>
      <w:r>
        <w:rPr>
          <w:rFonts w:ascii="Arial" w:hAnsi="Arial" w:cs="Arial"/>
          <w:sz w:val="24"/>
          <w:szCs w:val="24"/>
        </w:rPr>
        <w:t xml:space="preserve">Las sociedades ricas y pobres del mundo, ahora </w:t>
      </w:r>
      <w:proofErr w:type="spellStart"/>
      <w:r>
        <w:rPr>
          <w:rFonts w:ascii="Arial" w:hAnsi="Arial" w:cs="Arial"/>
          <w:sz w:val="24"/>
          <w:szCs w:val="24"/>
        </w:rPr>
        <w:t>hiper</w:t>
      </w:r>
      <w:proofErr w:type="spellEnd"/>
      <w:r>
        <w:rPr>
          <w:rFonts w:ascii="Arial" w:hAnsi="Arial" w:cs="Arial"/>
          <w:sz w:val="24"/>
          <w:szCs w:val="24"/>
        </w:rPr>
        <w:t>-conectado, viven una consciencia colectiva nunca antes vista en nuestra historia, y lo que antes solo era de conocimiento de unos pocos, ahora, por el acceso a medios tan democráticos como la Internet,  es de entendimiento común e inmediato.</w:t>
      </w:r>
    </w:p>
    <w:p w:rsidR="008C574C" w:rsidRDefault="008C574C" w:rsidP="002E639B">
      <w:pPr>
        <w:spacing w:after="0" w:line="360" w:lineRule="auto"/>
        <w:jc w:val="both"/>
        <w:rPr>
          <w:rFonts w:ascii="Arial" w:hAnsi="Arial" w:cs="Arial"/>
          <w:sz w:val="24"/>
          <w:szCs w:val="24"/>
        </w:rPr>
      </w:pPr>
    </w:p>
    <w:p w:rsidR="008C574C" w:rsidRDefault="008C574C" w:rsidP="002E639B">
      <w:pPr>
        <w:spacing w:after="0" w:line="360" w:lineRule="auto"/>
        <w:jc w:val="both"/>
        <w:rPr>
          <w:rFonts w:ascii="Arial" w:hAnsi="Arial" w:cs="Arial"/>
          <w:sz w:val="24"/>
          <w:szCs w:val="24"/>
        </w:rPr>
      </w:pPr>
      <w:r>
        <w:rPr>
          <w:rFonts w:ascii="Arial" w:hAnsi="Arial" w:cs="Arial"/>
          <w:sz w:val="24"/>
          <w:szCs w:val="24"/>
        </w:rPr>
        <w:t>Las noticias asociadas a los maltratos laborales de una empresa transnacional apostada en China, ya no se circunscriben a los medios locales, ahora, al ser compartidas por una de las tantas redes sociales existentes, pueden llegar con una velocidad inusitada hasta el poblador, hasta antes, más aislado del planeta.</w:t>
      </w:r>
    </w:p>
    <w:p w:rsidR="008C574C" w:rsidRDefault="008C574C" w:rsidP="002E639B">
      <w:pPr>
        <w:spacing w:after="0" w:line="360" w:lineRule="auto"/>
        <w:jc w:val="both"/>
        <w:rPr>
          <w:rFonts w:ascii="Arial" w:hAnsi="Arial" w:cs="Arial"/>
          <w:sz w:val="24"/>
          <w:szCs w:val="24"/>
        </w:rPr>
      </w:pPr>
      <w:r>
        <w:rPr>
          <w:rFonts w:ascii="Arial" w:hAnsi="Arial" w:cs="Arial"/>
          <w:sz w:val="24"/>
          <w:szCs w:val="24"/>
        </w:rPr>
        <w:t xml:space="preserve"> </w:t>
      </w:r>
    </w:p>
    <w:p w:rsidR="00E1209F" w:rsidRDefault="008C574C" w:rsidP="002E639B">
      <w:pPr>
        <w:spacing w:after="0" w:line="360" w:lineRule="auto"/>
        <w:jc w:val="both"/>
        <w:rPr>
          <w:rFonts w:ascii="Arial" w:hAnsi="Arial" w:cs="Arial"/>
          <w:sz w:val="24"/>
          <w:szCs w:val="24"/>
        </w:rPr>
      </w:pPr>
      <w:r>
        <w:rPr>
          <w:rFonts w:ascii="Arial" w:hAnsi="Arial" w:cs="Arial"/>
          <w:sz w:val="24"/>
          <w:szCs w:val="24"/>
        </w:rPr>
        <w:t>Esta situación</w:t>
      </w:r>
      <w:r w:rsidR="00AF38B3">
        <w:rPr>
          <w:rFonts w:ascii="Arial" w:hAnsi="Arial" w:cs="Arial"/>
          <w:sz w:val="24"/>
          <w:szCs w:val="24"/>
        </w:rPr>
        <w:t>, de tintes globales</w:t>
      </w:r>
      <w:r>
        <w:rPr>
          <w:rFonts w:ascii="Arial" w:hAnsi="Arial" w:cs="Arial"/>
          <w:sz w:val="24"/>
          <w:szCs w:val="24"/>
        </w:rPr>
        <w:t xml:space="preserve">, </w:t>
      </w:r>
      <w:r w:rsidR="00AF38B3">
        <w:rPr>
          <w:rFonts w:ascii="Arial" w:hAnsi="Arial" w:cs="Arial"/>
          <w:sz w:val="24"/>
          <w:szCs w:val="24"/>
        </w:rPr>
        <w:t xml:space="preserve">se asienta en los países o las sociedades pequeñas en el ámbito político, y ahí, como dicen </w:t>
      </w:r>
      <w:proofErr w:type="spellStart"/>
      <w:r w:rsidR="00AF38B3">
        <w:rPr>
          <w:rFonts w:ascii="Arial" w:hAnsi="Arial" w:cs="Arial"/>
          <w:sz w:val="24"/>
          <w:szCs w:val="24"/>
        </w:rPr>
        <w:t>Porter</w:t>
      </w:r>
      <w:proofErr w:type="spellEnd"/>
      <w:r w:rsidR="00AF38B3">
        <w:rPr>
          <w:rFonts w:ascii="Arial" w:hAnsi="Arial" w:cs="Arial"/>
          <w:sz w:val="24"/>
          <w:szCs w:val="24"/>
        </w:rPr>
        <w:t xml:space="preserve"> y </w:t>
      </w:r>
      <w:proofErr w:type="spellStart"/>
      <w:r w:rsidR="00AF38B3">
        <w:rPr>
          <w:rFonts w:ascii="Arial" w:hAnsi="Arial" w:cs="Arial"/>
          <w:sz w:val="24"/>
          <w:szCs w:val="24"/>
        </w:rPr>
        <w:t>Kramer</w:t>
      </w:r>
      <w:proofErr w:type="spellEnd"/>
      <w:r w:rsidR="00AF38B3">
        <w:rPr>
          <w:rFonts w:ascii="Arial" w:hAnsi="Arial" w:cs="Arial"/>
          <w:sz w:val="24"/>
          <w:szCs w:val="24"/>
        </w:rPr>
        <w:t>, l</w:t>
      </w:r>
      <w:r w:rsidR="00E1209F" w:rsidRPr="002E639B">
        <w:rPr>
          <w:rFonts w:ascii="Arial" w:hAnsi="Arial" w:cs="Arial"/>
          <w:sz w:val="24"/>
          <w:szCs w:val="24"/>
        </w:rPr>
        <w:t>a “pérdida de confianza en las compañías lleva a que los líderes políticos tomen medidas que socavan la competitividad y minan el crecimien</w:t>
      </w:r>
      <w:r w:rsidR="00AF38B3">
        <w:rPr>
          <w:rFonts w:ascii="Arial" w:hAnsi="Arial" w:cs="Arial"/>
          <w:sz w:val="24"/>
          <w:szCs w:val="24"/>
        </w:rPr>
        <w:t>to económico. Las empresas terminan quedando</w:t>
      </w:r>
      <w:r w:rsidR="00E1209F" w:rsidRPr="002E639B">
        <w:rPr>
          <w:rFonts w:ascii="Arial" w:hAnsi="Arial" w:cs="Arial"/>
          <w:sz w:val="24"/>
          <w:szCs w:val="24"/>
        </w:rPr>
        <w:t xml:space="preserve"> at</w:t>
      </w:r>
      <w:r w:rsidR="00AF38B3">
        <w:rPr>
          <w:rFonts w:ascii="Arial" w:hAnsi="Arial" w:cs="Arial"/>
          <w:sz w:val="24"/>
          <w:szCs w:val="24"/>
        </w:rPr>
        <w:t xml:space="preserve">rapadas en un círculo vicioso” </w:t>
      </w:r>
    </w:p>
    <w:p w:rsidR="002E639B" w:rsidRPr="002E639B" w:rsidRDefault="002E639B" w:rsidP="002E639B">
      <w:pPr>
        <w:spacing w:after="0" w:line="360" w:lineRule="auto"/>
        <w:jc w:val="both"/>
        <w:rPr>
          <w:rFonts w:ascii="Arial" w:hAnsi="Arial" w:cs="Arial"/>
          <w:sz w:val="24"/>
          <w:szCs w:val="24"/>
        </w:rPr>
      </w:pPr>
    </w:p>
    <w:p w:rsidR="00AF38B3" w:rsidRDefault="004B4CBE" w:rsidP="002E639B">
      <w:pPr>
        <w:spacing w:after="0" w:line="360" w:lineRule="auto"/>
        <w:jc w:val="both"/>
        <w:rPr>
          <w:rFonts w:ascii="Arial" w:hAnsi="Arial" w:cs="Arial"/>
          <w:sz w:val="24"/>
          <w:szCs w:val="24"/>
        </w:rPr>
      </w:pPr>
      <w:r>
        <w:rPr>
          <w:rFonts w:ascii="Arial" w:hAnsi="Arial" w:cs="Arial"/>
          <w:sz w:val="24"/>
          <w:szCs w:val="24"/>
        </w:rPr>
        <w:t xml:space="preserve">Resulta claro que son las empresas las principales responsables en romper aquel mencionado ciclo autodestructivo, tal vez con la sola comprensión de </w:t>
      </w:r>
      <w:r w:rsidR="00E1209F" w:rsidRPr="002E639B">
        <w:rPr>
          <w:rFonts w:ascii="Arial" w:hAnsi="Arial" w:cs="Arial"/>
          <w:sz w:val="24"/>
          <w:szCs w:val="24"/>
        </w:rPr>
        <w:t>la más simple de las ideas: n</w:t>
      </w:r>
      <w:r w:rsidR="00AF38B3">
        <w:rPr>
          <w:rFonts w:ascii="Arial" w:hAnsi="Arial" w:cs="Arial"/>
          <w:sz w:val="24"/>
          <w:szCs w:val="24"/>
        </w:rPr>
        <w:t>adie puede dar lo que no tiene.</w:t>
      </w:r>
    </w:p>
    <w:p w:rsidR="00AF38B3" w:rsidRDefault="00AF38B3" w:rsidP="002E639B">
      <w:pPr>
        <w:spacing w:after="0" w:line="360" w:lineRule="auto"/>
        <w:jc w:val="both"/>
        <w:rPr>
          <w:rFonts w:ascii="Arial" w:hAnsi="Arial" w:cs="Arial"/>
          <w:sz w:val="24"/>
          <w:szCs w:val="24"/>
        </w:rPr>
      </w:pPr>
    </w:p>
    <w:p w:rsidR="00E1209F" w:rsidRPr="00A150E2" w:rsidRDefault="00E1209F" w:rsidP="00A150E2">
      <w:pPr>
        <w:spacing w:after="0" w:line="360" w:lineRule="auto"/>
        <w:jc w:val="both"/>
        <w:rPr>
          <w:rFonts w:ascii="Arial" w:hAnsi="Arial" w:cs="Arial"/>
          <w:sz w:val="24"/>
          <w:szCs w:val="24"/>
        </w:rPr>
      </w:pPr>
      <w:r w:rsidRPr="002E639B">
        <w:rPr>
          <w:rFonts w:ascii="Arial" w:hAnsi="Arial" w:cs="Arial"/>
          <w:sz w:val="24"/>
          <w:szCs w:val="24"/>
        </w:rPr>
        <w:lastRenderedPageBreak/>
        <w:t>Es iluso pretender tener una sociedad feliz, satisfecha y com</w:t>
      </w:r>
      <w:r w:rsidR="00AF38B3">
        <w:rPr>
          <w:rFonts w:ascii="Arial" w:hAnsi="Arial" w:cs="Arial"/>
          <w:sz w:val="24"/>
          <w:szCs w:val="24"/>
        </w:rPr>
        <w:t xml:space="preserve">placida, cuando su </w:t>
      </w:r>
      <w:r w:rsidR="00A150E2">
        <w:rPr>
          <w:rFonts w:ascii="Arial" w:hAnsi="Arial" w:cs="Arial"/>
          <w:sz w:val="24"/>
          <w:szCs w:val="24"/>
        </w:rPr>
        <w:t>consciencia</w:t>
      </w:r>
      <w:r w:rsidR="00AF38B3">
        <w:rPr>
          <w:rFonts w:ascii="Arial" w:hAnsi="Arial" w:cs="Arial"/>
          <w:sz w:val="24"/>
          <w:szCs w:val="24"/>
        </w:rPr>
        <w:t xml:space="preserve"> se</w:t>
      </w:r>
      <w:r w:rsidRPr="002E639B">
        <w:rPr>
          <w:rFonts w:ascii="Arial" w:hAnsi="Arial" w:cs="Arial"/>
          <w:sz w:val="24"/>
          <w:szCs w:val="24"/>
        </w:rPr>
        <w:t xml:space="preserve"> ve vulnerada por </w:t>
      </w:r>
      <w:r w:rsidR="00AF38B3">
        <w:rPr>
          <w:rFonts w:ascii="Arial" w:hAnsi="Arial" w:cs="Arial"/>
          <w:sz w:val="24"/>
          <w:szCs w:val="24"/>
        </w:rPr>
        <w:t xml:space="preserve">la dicotomía entre </w:t>
      </w:r>
      <w:r w:rsidRPr="002E639B">
        <w:rPr>
          <w:rFonts w:ascii="Arial" w:hAnsi="Arial" w:cs="Arial"/>
          <w:sz w:val="24"/>
          <w:szCs w:val="24"/>
        </w:rPr>
        <w:t>una ineficaz distribución del valor</w:t>
      </w:r>
      <w:r w:rsidR="00AF38B3">
        <w:rPr>
          <w:rFonts w:ascii="Arial" w:hAnsi="Arial" w:cs="Arial"/>
          <w:sz w:val="24"/>
          <w:szCs w:val="24"/>
        </w:rPr>
        <w:t xml:space="preserve"> y una ostentosa visión de crecimiento</w:t>
      </w:r>
      <w:r w:rsidR="004B4CBE">
        <w:rPr>
          <w:rFonts w:ascii="Arial" w:hAnsi="Arial" w:cs="Arial"/>
          <w:sz w:val="24"/>
          <w:szCs w:val="24"/>
        </w:rPr>
        <w:t>. La histórica vigencia</w:t>
      </w:r>
      <w:r w:rsidRPr="002E639B">
        <w:rPr>
          <w:rFonts w:ascii="Arial" w:hAnsi="Arial" w:cs="Arial"/>
          <w:sz w:val="24"/>
          <w:szCs w:val="24"/>
        </w:rPr>
        <w:t xml:space="preserve"> de ello, genera que resulte lógico</w:t>
      </w:r>
      <w:r w:rsidR="00AF38B3">
        <w:rPr>
          <w:rFonts w:ascii="Arial" w:hAnsi="Arial" w:cs="Arial"/>
          <w:sz w:val="24"/>
          <w:szCs w:val="24"/>
        </w:rPr>
        <w:t xml:space="preserve"> y comprensible</w:t>
      </w:r>
      <w:r w:rsidRPr="002E639B">
        <w:rPr>
          <w:rFonts w:ascii="Arial" w:hAnsi="Arial" w:cs="Arial"/>
          <w:sz w:val="24"/>
          <w:szCs w:val="24"/>
        </w:rPr>
        <w:t xml:space="preserve"> que en </w:t>
      </w:r>
      <w:r w:rsidR="00E42B32" w:rsidRPr="002E639B">
        <w:rPr>
          <w:rFonts w:ascii="Arial" w:hAnsi="Arial" w:cs="Arial"/>
          <w:sz w:val="24"/>
          <w:szCs w:val="24"/>
        </w:rPr>
        <w:t xml:space="preserve">países como </w:t>
      </w:r>
      <w:r w:rsidRPr="002E639B">
        <w:rPr>
          <w:rFonts w:ascii="Arial" w:hAnsi="Arial" w:cs="Arial"/>
          <w:sz w:val="24"/>
          <w:szCs w:val="24"/>
        </w:rPr>
        <w:t>el Perú</w:t>
      </w:r>
      <w:r w:rsidR="00AF38B3">
        <w:rPr>
          <w:rFonts w:ascii="Arial" w:hAnsi="Arial" w:cs="Arial"/>
          <w:sz w:val="24"/>
          <w:szCs w:val="24"/>
        </w:rPr>
        <w:t>,</w:t>
      </w:r>
      <w:r w:rsidRPr="002E639B">
        <w:rPr>
          <w:rFonts w:ascii="Arial" w:hAnsi="Arial" w:cs="Arial"/>
          <w:sz w:val="24"/>
          <w:szCs w:val="24"/>
        </w:rPr>
        <w:t xml:space="preserve"> </w:t>
      </w:r>
      <w:r w:rsidR="004B4CBE">
        <w:rPr>
          <w:rFonts w:ascii="Arial" w:hAnsi="Arial" w:cs="Arial"/>
          <w:sz w:val="24"/>
          <w:szCs w:val="24"/>
        </w:rPr>
        <w:t>los</w:t>
      </w:r>
      <w:r w:rsidRPr="002E639B">
        <w:rPr>
          <w:rFonts w:ascii="Arial" w:hAnsi="Arial" w:cs="Arial"/>
          <w:sz w:val="24"/>
          <w:szCs w:val="24"/>
        </w:rPr>
        <w:t xml:space="preserve"> conflictos sociales</w:t>
      </w:r>
      <w:r w:rsidR="004B4CBE">
        <w:rPr>
          <w:rFonts w:ascii="Arial" w:hAnsi="Arial" w:cs="Arial"/>
          <w:sz w:val="24"/>
          <w:szCs w:val="24"/>
        </w:rPr>
        <w:t xml:space="preserve"> se hayan convertido ya, en una tradición</w:t>
      </w:r>
      <w:r w:rsidRPr="002E639B">
        <w:rPr>
          <w:rFonts w:ascii="Arial" w:hAnsi="Arial" w:cs="Arial"/>
          <w:sz w:val="24"/>
          <w:szCs w:val="24"/>
        </w:rPr>
        <w:t>.</w:t>
      </w:r>
    </w:p>
    <w:p w:rsidR="00E1209F" w:rsidRPr="00656E8D" w:rsidRDefault="00E1209F" w:rsidP="00E1209F">
      <w:pPr>
        <w:rPr>
          <w:sz w:val="24"/>
          <w:szCs w:val="24"/>
        </w:rPr>
      </w:pPr>
    </w:p>
    <w:sectPr w:rsidR="00E1209F" w:rsidRPr="00656E8D" w:rsidSect="003061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87" w:rsidRDefault="00141887" w:rsidP="00E1209F">
      <w:pPr>
        <w:spacing w:after="0" w:line="240" w:lineRule="auto"/>
      </w:pPr>
      <w:r>
        <w:separator/>
      </w:r>
    </w:p>
  </w:endnote>
  <w:endnote w:type="continuationSeparator" w:id="0">
    <w:p w:rsidR="00141887" w:rsidRDefault="00141887" w:rsidP="00E1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87" w:rsidRDefault="00141887" w:rsidP="00E1209F">
      <w:pPr>
        <w:spacing w:after="0" w:line="240" w:lineRule="auto"/>
      </w:pPr>
      <w:r>
        <w:separator/>
      </w:r>
    </w:p>
  </w:footnote>
  <w:footnote w:type="continuationSeparator" w:id="0">
    <w:p w:rsidR="00141887" w:rsidRDefault="00141887" w:rsidP="00E1209F">
      <w:pPr>
        <w:spacing w:after="0" w:line="240" w:lineRule="auto"/>
      </w:pPr>
      <w:r>
        <w:continuationSeparator/>
      </w:r>
    </w:p>
  </w:footnote>
  <w:footnote w:id="1">
    <w:p w:rsidR="003A23E2" w:rsidRDefault="003A23E2" w:rsidP="00660971">
      <w:pPr>
        <w:spacing w:after="0" w:line="360" w:lineRule="auto"/>
        <w:jc w:val="both"/>
      </w:pPr>
      <w:r>
        <w:rPr>
          <w:rStyle w:val="Refdenotaalpie"/>
        </w:rPr>
        <w:footnoteRef/>
      </w:r>
      <w:r>
        <w:t>PNUD (2009</w:t>
      </w:r>
      <w:r w:rsidRPr="003A23E2">
        <w:rPr>
          <w:highlight w:val="yellow"/>
        </w:rPr>
        <w:t xml:space="preserve">) Informe del Índice de Desarrollo Humano. </w:t>
      </w:r>
      <w:proofErr w:type="spellStart"/>
      <w:r w:rsidRPr="003A23E2">
        <w:rPr>
          <w:highlight w:val="yellow"/>
        </w:rPr>
        <w:t>Cap</w:t>
      </w:r>
      <w:proofErr w:type="spellEnd"/>
      <w:r w:rsidRPr="003A23E2">
        <w:rPr>
          <w:highlight w:val="yellow"/>
        </w:rPr>
        <w:t xml:space="preserve"> 1. Pág. 28</w:t>
      </w:r>
      <w:r>
        <w:t>. La densidad del Estado es el desempeño o funcionamiento en el momento de proveer servicios sociales básicos</w:t>
      </w:r>
      <w:r w:rsidR="00CA2E2F">
        <w:t>-</w:t>
      </w:r>
      <w:r>
        <w:t xml:space="preserve"> tanto en número como en cobertura</w:t>
      </w:r>
      <w:r w:rsidR="00CA2E2F">
        <w:t xml:space="preserve"> mostrando sus </w:t>
      </w:r>
      <w:r>
        <w:t xml:space="preserve">capacidades reales para cumplir con los fines relacionados al desarrollo humano (identidad, educación, salud, saneamiento, electrificación). La diferencia del Índice de densidad del Estado (IDE) </w:t>
      </w:r>
      <w:r w:rsidR="00CA2E2F">
        <w:t xml:space="preserve">y </w:t>
      </w:r>
      <w:r>
        <w:t xml:space="preserve">el Índice de desarrollo humano (IDH) </w:t>
      </w:r>
      <w:r w:rsidR="00CA2E2F">
        <w:t xml:space="preserve">es </w:t>
      </w:r>
      <w:r>
        <w:t xml:space="preserve">que en el primero se enfoca la atención </w:t>
      </w:r>
      <w:r w:rsidR="00CA2E2F">
        <w:t xml:space="preserve">en </w:t>
      </w:r>
      <w:r>
        <w:t xml:space="preserve">la acción pública, mientras que en el segundo </w:t>
      </w:r>
      <w:r w:rsidR="00CA2E2F">
        <w:t xml:space="preserve">el centro es el </w:t>
      </w:r>
      <w:r>
        <w:t>funcionamiento cotidiano y básico de las personas dentro de su comunidad.</w:t>
      </w:r>
      <w:r w:rsidR="00CA2E2F">
        <w:t xml:space="preserve"> </w:t>
      </w:r>
      <w:r w:rsidRPr="00CA2E2F">
        <w:rPr>
          <w:rFonts w:cstheme="minorHAnsi"/>
        </w:rPr>
        <w:t xml:space="preserve">Desde el punto de vista del desarrollo de las personas se puede decir que estas capacidades, que están presentes en la relación </w:t>
      </w:r>
      <w:r w:rsidR="00CA2E2F">
        <w:rPr>
          <w:rFonts w:cstheme="minorHAnsi"/>
        </w:rPr>
        <w:t xml:space="preserve">bidireccional entre </w:t>
      </w:r>
      <w:r w:rsidRPr="00CA2E2F">
        <w:rPr>
          <w:rFonts w:cstheme="minorHAnsi"/>
        </w:rPr>
        <w:t>el Estado</w:t>
      </w:r>
      <w:r w:rsidR="00CA2E2F">
        <w:rPr>
          <w:rFonts w:cstheme="minorHAnsi"/>
        </w:rPr>
        <w:t xml:space="preserve"> y el ciudadano</w:t>
      </w:r>
      <w:r w:rsidRPr="00CA2E2F">
        <w:rPr>
          <w:rFonts w:cstheme="minorHAnsi"/>
        </w:rPr>
        <w:t>, son instrumentales</w:t>
      </w:r>
      <w:r w:rsidR="00CA2E2F" w:rsidRPr="00CA2E2F">
        <w:rPr>
          <w:rFonts w:cstheme="minorHAnsi"/>
        </w:rPr>
        <w:t>. U</w:t>
      </w:r>
      <w:r w:rsidRPr="00CA2E2F">
        <w:rPr>
          <w:rFonts w:cstheme="minorHAnsi"/>
        </w:rPr>
        <w:t>n Estado bien organizado con personal idóneo y con actitud positiva amplía el campo de acción eficaz del Estado e incrementa las libertades de las personas, en la medida que pueden recibir de</w:t>
      </w:r>
      <w:r w:rsidR="00CA2E2F">
        <w:rPr>
          <w:rFonts w:cstheme="minorHAnsi"/>
        </w:rPr>
        <w:t>l</w:t>
      </w:r>
      <w:r w:rsidRPr="00CA2E2F">
        <w:rPr>
          <w:rFonts w:cstheme="minorHAnsi"/>
        </w:rPr>
        <w:t xml:space="preserve"> Estado lo que esperan de él. </w:t>
      </w:r>
    </w:p>
  </w:footnote>
  <w:footnote w:id="2">
    <w:p w:rsidR="004827F3" w:rsidRDefault="004827F3">
      <w:pPr>
        <w:pStyle w:val="Textonotapie"/>
      </w:pPr>
      <w:r>
        <w:rPr>
          <w:rStyle w:val="Refdenotaalpie"/>
        </w:rPr>
        <w:footnoteRef/>
      </w:r>
      <w:r>
        <w:t xml:space="preserve">Barnechea y </w:t>
      </w:r>
      <w:proofErr w:type="spellStart"/>
      <w:r>
        <w:t>Tumi</w:t>
      </w:r>
      <w:proofErr w:type="spellEnd"/>
      <w:r>
        <w:t xml:space="preserve"> (2011). El síndrome del cuarto del rescate. p. 251.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0D46"/>
    <w:multiLevelType w:val="hybridMultilevel"/>
    <w:tmpl w:val="C7221EEA"/>
    <w:lvl w:ilvl="0" w:tplc="EF2C29B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E254C07"/>
    <w:multiLevelType w:val="hybridMultilevel"/>
    <w:tmpl w:val="5BB0C0CC"/>
    <w:lvl w:ilvl="0" w:tplc="4C3868D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5EEA05D4"/>
    <w:multiLevelType w:val="hybridMultilevel"/>
    <w:tmpl w:val="AA88CCA4"/>
    <w:lvl w:ilvl="0" w:tplc="CEE0235A">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EF"/>
    <w:rsid w:val="00012491"/>
    <w:rsid w:val="00141887"/>
    <w:rsid w:val="001E352C"/>
    <w:rsid w:val="002106EA"/>
    <w:rsid w:val="002B39F4"/>
    <w:rsid w:val="002D2657"/>
    <w:rsid w:val="002E639B"/>
    <w:rsid w:val="003025D7"/>
    <w:rsid w:val="00306138"/>
    <w:rsid w:val="003A23E2"/>
    <w:rsid w:val="0044006B"/>
    <w:rsid w:val="004827F3"/>
    <w:rsid w:val="004B4CBE"/>
    <w:rsid w:val="00537227"/>
    <w:rsid w:val="006236F7"/>
    <w:rsid w:val="00656E8D"/>
    <w:rsid w:val="00660971"/>
    <w:rsid w:val="00695EE5"/>
    <w:rsid w:val="00740BCD"/>
    <w:rsid w:val="00882F91"/>
    <w:rsid w:val="008C33A6"/>
    <w:rsid w:val="008C574C"/>
    <w:rsid w:val="008F79F1"/>
    <w:rsid w:val="00996BE9"/>
    <w:rsid w:val="00A150E2"/>
    <w:rsid w:val="00A53D02"/>
    <w:rsid w:val="00A81871"/>
    <w:rsid w:val="00AC16EF"/>
    <w:rsid w:val="00AF38B3"/>
    <w:rsid w:val="00B43A59"/>
    <w:rsid w:val="00B914CA"/>
    <w:rsid w:val="00C03ACF"/>
    <w:rsid w:val="00C17094"/>
    <w:rsid w:val="00C53EB9"/>
    <w:rsid w:val="00C95963"/>
    <w:rsid w:val="00CA2E2F"/>
    <w:rsid w:val="00CF43A6"/>
    <w:rsid w:val="00D0271A"/>
    <w:rsid w:val="00D34D51"/>
    <w:rsid w:val="00D93412"/>
    <w:rsid w:val="00DC6AD4"/>
    <w:rsid w:val="00DC7894"/>
    <w:rsid w:val="00DE0ACC"/>
    <w:rsid w:val="00E1209F"/>
    <w:rsid w:val="00E159D5"/>
    <w:rsid w:val="00E42B32"/>
    <w:rsid w:val="00E46E3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6EF"/>
    <w:pPr>
      <w:ind w:left="720"/>
      <w:contextualSpacing/>
    </w:pPr>
  </w:style>
  <w:style w:type="character" w:styleId="Refdenotaalpie">
    <w:name w:val="footnote reference"/>
    <w:uiPriority w:val="99"/>
    <w:semiHidden/>
    <w:rsid w:val="00E1209F"/>
    <w:rPr>
      <w:vertAlign w:val="superscript"/>
    </w:rPr>
  </w:style>
  <w:style w:type="paragraph" w:styleId="Textodeglobo">
    <w:name w:val="Balloon Text"/>
    <w:basedOn w:val="Normal"/>
    <w:link w:val="TextodegloboCar"/>
    <w:uiPriority w:val="99"/>
    <w:semiHidden/>
    <w:unhideWhenUsed/>
    <w:rsid w:val="00E120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09F"/>
    <w:rPr>
      <w:rFonts w:ascii="Tahoma" w:hAnsi="Tahoma" w:cs="Tahoma"/>
      <w:sz w:val="16"/>
      <w:szCs w:val="16"/>
      <w:lang w:val="pt-BR"/>
    </w:rPr>
  </w:style>
  <w:style w:type="paragraph" w:styleId="Textonotaalfinal">
    <w:name w:val="endnote text"/>
    <w:basedOn w:val="Normal"/>
    <w:link w:val="TextonotaalfinalCar"/>
    <w:uiPriority w:val="99"/>
    <w:semiHidden/>
    <w:unhideWhenUsed/>
    <w:rsid w:val="003A23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23E2"/>
    <w:rPr>
      <w:sz w:val="20"/>
      <w:szCs w:val="20"/>
    </w:rPr>
  </w:style>
  <w:style w:type="character" w:styleId="Refdenotaalfinal">
    <w:name w:val="endnote reference"/>
    <w:basedOn w:val="Fuentedeprrafopredeter"/>
    <w:uiPriority w:val="99"/>
    <w:semiHidden/>
    <w:unhideWhenUsed/>
    <w:rsid w:val="003A23E2"/>
    <w:rPr>
      <w:vertAlign w:val="superscript"/>
    </w:rPr>
  </w:style>
  <w:style w:type="paragraph" w:styleId="Textonotapie">
    <w:name w:val="footnote text"/>
    <w:basedOn w:val="Normal"/>
    <w:link w:val="TextonotapieCar"/>
    <w:uiPriority w:val="99"/>
    <w:semiHidden/>
    <w:unhideWhenUsed/>
    <w:rsid w:val="003A23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23E2"/>
    <w:rPr>
      <w:sz w:val="20"/>
      <w:szCs w:val="20"/>
    </w:rPr>
  </w:style>
  <w:style w:type="character" w:styleId="Hipervnculo">
    <w:name w:val="Hyperlink"/>
    <w:basedOn w:val="Fuentedeprrafopredeter"/>
    <w:uiPriority w:val="99"/>
    <w:semiHidden/>
    <w:unhideWhenUsed/>
    <w:rsid w:val="00882F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6EF"/>
    <w:pPr>
      <w:ind w:left="720"/>
      <w:contextualSpacing/>
    </w:pPr>
  </w:style>
  <w:style w:type="character" w:styleId="Refdenotaalpie">
    <w:name w:val="footnote reference"/>
    <w:uiPriority w:val="99"/>
    <w:semiHidden/>
    <w:rsid w:val="00E1209F"/>
    <w:rPr>
      <w:vertAlign w:val="superscript"/>
    </w:rPr>
  </w:style>
  <w:style w:type="paragraph" w:styleId="Textodeglobo">
    <w:name w:val="Balloon Text"/>
    <w:basedOn w:val="Normal"/>
    <w:link w:val="TextodegloboCar"/>
    <w:uiPriority w:val="99"/>
    <w:semiHidden/>
    <w:unhideWhenUsed/>
    <w:rsid w:val="00E120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209F"/>
    <w:rPr>
      <w:rFonts w:ascii="Tahoma" w:hAnsi="Tahoma" w:cs="Tahoma"/>
      <w:sz w:val="16"/>
      <w:szCs w:val="16"/>
      <w:lang w:val="pt-BR"/>
    </w:rPr>
  </w:style>
  <w:style w:type="paragraph" w:styleId="Textonotaalfinal">
    <w:name w:val="endnote text"/>
    <w:basedOn w:val="Normal"/>
    <w:link w:val="TextonotaalfinalCar"/>
    <w:uiPriority w:val="99"/>
    <w:semiHidden/>
    <w:unhideWhenUsed/>
    <w:rsid w:val="003A23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23E2"/>
    <w:rPr>
      <w:sz w:val="20"/>
      <w:szCs w:val="20"/>
    </w:rPr>
  </w:style>
  <w:style w:type="character" w:styleId="Refdenotaalfinal">
    <w:name w:val="endnote reference"/>
    <w:basedOn w:val="Fuentedeprrafopredeter"/>
    <w:uiPriority w:val="99"/>
    <w:semiHidden/>
    <w:unhideWhenUsed/>
    <w:rsid w:val="003A23E2"/>
    <w:rPr>
      <w:vertAlign w:val="superscript"/>
    </w:rPr>
  </w:style>
  <w:style w:type="paragraph" w:styleId="Textonotapie">
    <w:name w:val="footnote text"/>
    <w:basedOn w:val="Normal"/>
    <w:link w:val="TextonotapieCar"/>
    <w:uiPriority w:val="99"/>
    <w:semiHidden/>
    <w:unhideWhenUsed/>
    <w:rsid w:val="003A23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23E2"/>
    <w:rPr>
      <w:sz w:val="20"/>
      <w:szCs w:val="20"/>
    </w:rPr>
  </w:style>
  <w:style w:type="character" w:styleId="Hipervnculo">
    <w:name w:val="Hyperlink"/>
    <w:basedOn w:val="Fuentedeprrafopredeter"/>
    <w:uiPriority w:val="99"/>
    <w:semiHidden/>
    <w:unhideWhenUsed/>
    <w:rsid w:val="00882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PE"/>
              <a:t>Evolución de los</a:t>
            </a:r>
            <a:r>
              <a:rPr lang="es-PE" baseline="0"/>
              <a:t> conflictos sociales</a:t>
            </a:r>
            <a:endParaRPr lang="es-PE"/>
          </a:p>
        </c:rich>
      </c:tx>
      <c:overlay val="0"/>
    </c:title>
    <c:autoTitleDeleted val="0"/>
    <c:plotArea>
      <c:layout>
        <c:manualLayout>
          <c:layoutTarget val="inner"/>
          <c:xMode val="edge"/>
          <c:yMode val="edge"/>
          <c:x val="7.3748665703413388E-2"/>
          <c:y val="0.15428191194410557"/>
          <c:w val="0.92445196433110333"/>
          <c:h val="0.61523965842297879"/>
        </c:manualLayout>
      </c:layout>
      <c:lineChart>
        <c:grouping val="standard"/>
        <c:varyColors val="0"/>
        <c:ser>
          <c:idx val="0"/>
          <c:order val="0"/>
          <c:tx>
            <c:v>PCM</c:v>
          </c:tx>
          <c:marker>
            <c:symbol val="none"/>
          </c:marker>
          <c:cat>
            <c:numRef>
              <c:f>integrados!$B$2:$N$2</c:f>
              <c:numCache>
                <c:formatCode>mmm\-yy</c:formatCode>
                <c:ptCount val="13"/>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numCache>
            </c:numRef>
          </c:cat>
          <c:val>
            <c:numRef>
              <c:f>integrados!$B$3:$N$3</c:f>
              <c:numCache>
                <c:formatCode>General</c:formatCode>
                <c:ptCount val="13"/>
                <c:pt idx="0">
                  <c:v>125</c:v>
                </c:pt>
                <c:pt idx="1">
                  <c:v>123</c:v>
                </c:pt>
                <c:pt idx="2">
                  <c:v>120</c:v>
                </c:pt>
                <c:pt idx="3">
                  <c:v>114</c:v>
                </c:pt>
                <c:pt idx="4">
                  <c:v>111</c:v>
                </c:pt>
                <c:pt idx="5">
                  <c:v>109</c:v>
                </c:pt>
                <c:pt idx="6">
                  <c:v>107</c:v>
                </c:pt>
                <c:pt idx="7">
                  <c:v>103</c:v>
                </c:pt>
                <c:pt idx="8">
                  <c:v>101</c:v>
                </c:pt>
                <c:pt idx="9">
                  <c:v>98</c:v>
                </c:pt>
                <c:pt idx="10">
                  <c:v>98</c:v>
                </c:pt>
                <c:pt idx="11">
                  <c:v>98</c:v>
                </c:pt>
                <c:pt idx="12">
                  <c:v>95</c:v>
                </c:pt>
              </c:numCache>
            </c:numRef>
          </c:val>
          <c:smooth val="0"/>
        </c:ser>
        <c:ser>
          <c:idx val="1"/>
          <c:order val="1"/>
          <c:tx>
            <c:v>Defensoría del Pueblo</c:v>
          </c:tx>
          <c:marker>
            <c:symbol val="none"/>
          </c:marker>
          <c:cat>
            <c:numRef>
              <c:f>integrados!$B$2:$N$2</c:f>
              <c:numCache>
                <c:formatCode>mmm\-yy</c:formatCode>
                <c:ptCount val="13"/>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numCache>
            </c:numRef>
          </c:cat>
          <c:val>
            <c:numRef>
              <c:f>integrados!$B$4:$N$4</c:f>
              <c:numCache>
                <c:formatCode>General</c:formatCode>
                <c:ptCount val="13"/>
                <c:pt idx="0">
                  <c:v>250</c:v>
                </c:pt>
                <c:pt idx="1">
                  <c:v>248</c:v>
                </c:pt>
                <c:pt idx="2">
                  <c:v>246</c:v>
                </c:pt>
                <c:pt idx="3">
                  <c:v>250</c:v>
                </c:pt>
                <c:pt idx="4">
                  <c:v>250</c:v>
                </c:pt>
                <c:pt idx="5">
                  <c:v>250</c:v>
                </c:pt>
                <c:pt idx="6">
                  <c:v>246</c:v>
                </c:pt>
                <c:pt idx="7">
                  <c:v>239</c:v>
                </c:pt>
                <c:pt idx="8">
                  <c:v>234</c:v>
                </c:pt>
                <c:pt idx="9">
                  <c:v>236</c:v>
                </c:pt>
                <c:pt idx="10">
                  <c:v>233</c:v>
                </c:pt>
                <c:pt idx="11">
                  <c:v>227</c:v>
                </c:pt>
                <c:pt idx="12">
                  <c:v>217</c:v>
                </c:pt>
              </c:numCache>
            </c:numRef>
          </c:val>
          <c:smooth val="0"/>
        </c:ser>
        <c:dLbls>
          <c:showLegendKey val="0"/>
          <c:showVal val="0"/>
          <c:showCatName val="0"/>
          <c:showSerName val="0"/>
          <c:showPercent val="0"/>
          <c:showBubbleSize val="0"/>
        </c:dLbls>
        <c:marker val="1"/>
        <c:smooth val="0"/>
        <c:axId val="147568896"/>
        <c:axId val="149308928"/>
      </c:lineChart>
      <c:dateAx>
        <c:axId val="147568896"/>
        <c:scaling>
          <c:orientation val="minMax"/>
        </c:scaling>
        <c:delete val="1"/>
        <c:axPos val="b"/>
        <c:numFmt formatCode="mmm\-yy" sourceLinked="1"/>
        <c:majorTickMark val="none"/>
        <c:minorTickMark val="none"/>
        <c:tickLblPos val="nextTo"/>
        <c:crossAx val="149308928"/>
        <c:crosses val="autoZero"/>
        <c:auto val="1"/>
        <c:lblOffset val="100"/>
        <c:baseTimeUnit val="months"/>
      </c:dateAx>
      <c:valAx>
        <c:axId val="149308928"/>
        <c:scaling>
          <c:orientation val="minMax"/>
        </c:scaling>
        <c:delete val="0"/>
        <c:axPos val="l"/>
        <c:majorGridlines/>
        <c:numFmt formatCode="General" sourceLinked="1"/>
        <c:majorTickMark val="none"/>
        <c:minorTickMark val="none"/>
        <c:tickLblPos val="nextTo"/>
        <c:crossAx val="1475688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C65BD-BF4D-48DA-8F90-EAD5A79C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1590</Words>
  <Characters>8749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Ordinola</cp:lastModifiedBy>
  <cp:revision>5</cp:revision>
  <dcterms:created xsi:type="dcterms:W3CDTF">2011-08-18T17:00:00Z</dcterms:created>
  <dcterms:modified xsi:type="dcterms:W3CDTF">2011-08-18T18:21:00Z</dcterms:modified>
</cp:coreProperties>
</file>