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634" w:rsidRDefault="00223D25">
      <w:r>
        <w:t>“How is a geologist like a detective?”</w:t>
      </w:r>
    </w:p>
    <w:p w:rsidR="00223D25" w:rsidRDefault="00223D25" w:rsidP="00223D25">
      <w:r>
        <w:t>Google Earth</w:t>
      </w:r>
    </w:p>
    <w:p w:rsidR="00223D25" w:rsidRDefault="00223D25" w:rsidP="00223D25">
      <w:r>
        <w:t>Concept Map Activity</w:t>
      </w:r>
    </w:p>
    <w:p w:rsidR="00223D25" w:rsidRDefault="00223D25" w:rsidP="00223D25">
      <w:pPr>
        <w:jc w:val="center"/>
      </w:pPr>
      <w:r w:rsidRPr="00223D25">
        <w:rPr>
          <w:noProof/>
        </w:rPr>
        <w:drawing>
          <wp:inline distT="0" distB="0" distL="0" distR="0">
            <wp:extent cx="4991100" cy="4095750"/>
            <wp:effectExtent l="19050" t="0" r="0" b="0"/>
            <wp:docPr id="3" name="Picture 2" descr="FIGURE 7.14 The orientation of tectonic forces determines the style of continental deformation. [After John Suppe, Principles of Structural Geology. Upper Saddle River, N.J.: Prentice Hall, 1985.]&#10;"/>
            <wp:cNvGraphicFramePr/>
            <a:graphic xmlns:a="http://schemas.openxmlformats.org/drawingml/2006/main">
              <a:graphicData uri="http://schemas.openxmlformats.org/drawingml/2006/picture">
                <pic:pic xmlns:pic="http://schemas.openxmlformats.org/drawingml/2006/picture">
                  <pic:nvPicPr>
                    <pic:cNvPr id="21507" name="Picture 5" descr="FIGURE 7.14 The orientation of tectonic forces determines the style of continental deformation. [After John Suppe, Principles of Structural Geology. Upper Saddle River, N.J.: Prentice Hall, 1985.]&#10;"/>
                    <pic:cNvPicPr>
                      <a:picLocks noChangeAspect="1" noChangeArrowheads="1"/>
                    </pic:cNvPicPr>
                  </pic:nvPicPr>
                  <pic:blipFill>
                    <a:blip r:embed="rId4" cstate="print"/>
                    <a:srcRect/>
                    <a:stretch>
                      <a:fillRect/>
                    </a:stretch>
                  </pic:blipFill>
                  <pic:spPr bwMode="auto">
                    <a:xfrm>
                      <a:off x="0" y="0"/>
                      <a:ext cx="4994853" cy="4098830"/>
                    </a:xfrm>
                    <a:prstGeom prst="rect">
                      <a:avLst/>
                    </a:prstGeom>
                    <a:noFill/>
                    <a:ln w="9525">
                      <a:noFill/>
                      <a:miter lim="800000"/>
                      <a:headEnd/>
                      <a:tailEnd/>
                    </a:ln>
                  </pic:spPr>
                </pic:pic>
              </a:graphicData>
            </a:graphic>
          </wp:inline>
        </w:drawing>
      </w:r>
      <w:r w:rsidRPr="00223D25">
        <w:rPr>
          <w:noProof/>
        </w:rPr>
        <w:drawing>
          <wp:inline distT="0" distB="0" distL="0" distR="0">
            <wp:extent cx="5048250" cy="3619500"/>
            <wp:effectExtent l="19050" t="0" r="0" b="0"/>
            <wp:docPr id="1" name="Picture 1" descr="FIGURE 7.7 The orientation of tectonic forces determines the style of faulting. Dip-slip faulting (parts a–c) is caused by tensional and compressive forces. Strike-slip faulting (parts d–f) is caused by shearing forces.&#10;"/>
            <wp:cNvGraphicFramePr/>
            <a:graphic xmlns:a="http://schemas.openxmlformats.org/drawingml/2006/main">
              <a:graphicData uri="http://schemas.openxmlformats.org/drawingml/2006/picture">
                <pic:pic xmlns:pic="http://schemas.openxmlformats.org/drawingml/2006/picture">
                  <pic:nvPicPr>
                    <pic:cNvPr id="19459" name="Picture 5" descr="FIGURE 7.7 The orientation of tectonic forces determines the style of faulting. Dip-slip faulting (parts a–c) is caused by tensional and compressive forces. Strike-slip faulting (parts d–f) is caused by shearing forces.&#10;"/>
                    <pic:cNvPicPr>
                      <a:picLocks noChangeAspect="1" noChangeArrowheads="1"/>
                    </pic:cNvPicPr>
                  </pic:nvPicPr>
                  <pic:blipFill>
                    <a:blip r:embed="rId5" cstate="print"/>
                    <a:srcRect/>
                    <a:stretch>
                      <a:fillRect/>
                    </a:stretch>
                  </pic:blipFill>
                  <pic:spPr bwMode="auto">
                    <a:xfrm>
                      <a:off x="0" y="0"/>
                      <a:ext cx="5048250" cy="3619500"/>
                    </a:xfrm>
                    <a:prstGeom prst="rect">
                      <a:avLst/>
                    </a:prstGeom>
                    <a:noFill/>
                    <a:ln w="9525">
                      <a:noFill/>
                      <a:miter lim="800000"/>
                      <a:headEnd/>
                      <a:tailEnd/>
                    </a:ln>
                  </pic:spPr>
                </pic:pic>
              </a:graphicData>
            </a:graphic>
          </wp:inline>
        </w:drawing>
      </w:r>
    </w:p>
    <w:p w:rsidR="00223D25" w:rsidRDefault="00223D25" w:rsidP="00223D25">
      <w:pPr>
        <w:jc w:val="center"/>
      </w:pPr>
    </w:p>
    <w:p w:rsidR="00223D25" w:rsidRDefault="00223D25" w:rsidP="00223D25">
      <w:r w:rsidRPr="00223D25">
        <w:rPr>
          <w:noProof/>
        </w:rPr>
        <w:lastRenderedPageBreak/>
        <w:drawing>
          <wp:inline distT="0" distB="0" distL="0" distR="0">
            <wp:extent cx="5943600" cy="6208395"/>
            <wp:effectExtent l="19050" t="0" r="0" b="0"/>
            <wp:docPr id="4" name="Picture 3" descr="onebych"/>
            <wp:cNvGraphicFramePr/>
            <a:graphic xmlns:a="http://schemas.openxmlformats.org/drawingml/2006/main">
              <a:graphicData uri="http://schemas.openxmlformats.org/drawingml/2006/picture">
                <pic:pic xmlns:pic="http://schemas.openxmlformats.org/drawingml/2006/picture">
                  <pic:nvPicPr>
                    <pic:cNvPr id="24580" name="Picture 4" descr="onebych"/>
                    <pic:cNvPicPr>
                      <a:picLocks noChangeAspect="1" noChangeArrowheads="1"/>
                    </pic:cNvPicPr>
                  </pic:nvPicPr>
                  <pic:blipFill>
                    <a:blip r:embed="rId6" cstate="print"/>
                    <a:srcRect/>
                    <a:stretch>
                      <a:fillRect/>
                    </a:stretch>
                  </pic:blipFill>
                  <pic:spPr bwMode="auto">
                    <a:xfrm>
                      <a:off x="0" y="0"/>
                      <a:ext cx="5943600" cy="6208395"/>
                    </a:xfrm>
                    <a:prstGeom prst="rect">
                      <a:avLst/>
                    </a:prstGeom>
                    <a:noFill/>
                    <a:ln w="9525">
                      <a:noFill/>
                      <a:miter lim="800000"/>
                      <a:headEnd/>
                      <a:tailEnd/>
                    </a:ln>
                  </pic:spPr>
                </pic:pic>
              </a:graphicData>
            </a:graphic>
          </wp:inline>
        </w:drawing>
      </w:r>
    </w:p>
    <w:p w:rsidR="00223D25" w:rsidRPr="00223D25" w:rsidRDefault="00FD3050" w:rsidP="00223D25">
      <w:hyperlink r:id="rId7" w:history="1">
        <w:r w:rsidR="00223D25" w:rsidRPr="00223D25">
          <w:rPr>
            <w:rStyle w:val="Hyperlink"/>
          </w:rPr>
          <w:t>http://www.globalchange.umich.edu/globalchange1/current/lectures/first_billion_years/onebych.jpg</w:t>
        </w:r>
      </w:hyperlink>
      <w:r w:rsidR="00223D25" w:rsidRPr="00223D25">
        <w:t xml:space="preserve"> </w:t>
      </w:r>
    </w:p>
    <w:p w:rsidR="00223D25" w:rsidRDefault="00223D25" w:rsidP="00223D25">
      <w:r w:rsidRPr="00223D25">
        <w:rPr>
          <w:noProof/>
        </w:rPr>
        <w:lastRenderedPageBreak/>
        <w:drawing>
          <wp:inline distT="0" distB="0" distL="0" distR="0">
            <wp:extent cx="5943600" cy="4453255"/>
            <wp:effectExtent l="19050" t="0" r="0" b="0"/>
            <wp:docPr id="5" name="Picture 4" descr="FIGURE 8.13 The ribbon of geologic time shows the complete geologic time scale. All numbers are ages in millions of years ago. (The Tertiary and Quaternary periods are older divisions that have been largely replaced by the Paleogene and Neogene periods, but are still sometimes used by geologists.)&#10;"/>
            <wp:cNvGraphicFramePr/>
            <a:graphic xmlns:a="http://schemas.openxmlformats.org/drawingml/2006/main">
              <a:graphicData uri="http://schemas.openxmlformats.org/drawingml/2006/picture">
                <pic:pic xmlns:pic="http://schemas.openxmlformats.org/drawingml/2006/picture">
                  <pic:nvPicPr>
                    <pic:cNvPr id="26627" name="Picture 5" descr="FIGURE 8.13 The ribbon of geologic time shows the complete geologic time scale. All numbers are ages in millions of years ago. (The Tertiary and Quaternary periods are older divisions that have been largely replaced by the Paleogene and Neogene periods, but are still sometimes used by geologists.)&#10;"/>
                    <pic:cNvPicPr>
                      <a:picLocks noChangeAspect="1" noChangeArrowheads="1"/>
                    </pic:cNvPicPr>
                  </pic:nvPicPr>
                  <pic:blipFill>
                    <a:blip r:embed="rId8" cstate="print"/>
                    <a:srcRect/>
                    <a:stretch>
                      <a:fillRect/>
                    </a:stretch>
                  </pic:blipFill>
                  <pic:spPr bwMode="auto">
                    <a:xfrm>
                      <a:off x="0" y="0"/>
                      <a:ext cx="5943600" cy="4453255"/>
                    </a:xfrm>
                    <a:prstGeom prst="rect">
                      <a:avLst/>
                    </a:prstGeom>
                    <a:noFill/>
                    <a:ln w="9525">
                      <a:noFill/>
                      <a:miter lim="800000"/>
                      <a:headEnd/>
                      <a:tailEnd/>
                    </a:ln>
                  </pic:spPr>
                </pic:pic>
              </a:graphicData>
            </a:graphic>
          </wp:inline>
        </w:drawing>
      </w:r>
    </w:p>
    <w:p w:rsidR="00223D25" w:rsidRDefault="00223D25" w:rsidP="00223D25">
      <w:r w:rsidRPr="00223D25">
        <w:rPr>
          <w:noProof/>
        </w:rPr>
        <w:drawing>
          <wp:inline distT="0" distB="0" distL="0" distR="0">
            <wp:extent cx="5943600" cy="2153285"/>
            <wp:effectExtent l="19050" t="0" r="0" b="0"/>
            <wp:docPr id="6" name="Picture 5" descr="FIGURE 8.2 Layers of sedimentary rock in Marble Canyon, part of the Grand Canyon, illustrate Steno’s principles. The Grand Canyon was cut by the Colorado River through what is now northern Arizona, revealing layers that record millions of years of geologic history. Stratigraphy is the study of sedimentary sequences such as this one. [Fletcher and Baylis/ Photo Researchers.]&#10;"/>
            <wp:cNvGraphicFramePr/>
            <a:graphic xmlns:a="http://schemas.openxmlformats.org/drawingml/2006/main">
              <a:graphicData uri="http://schemas.openxmlformats.org/drawingml/2006/picture">
                <pic:pic xmlns:pic="http://schemas.openxmlformats.org/drawingml/2006/picture">
                  <pic:nvPicPr>
                    <pic:cNvPr id="29699" name="Picture 5" descr="FIGURE 8.2 Layers of sedimentary rock in Marble Canyon, part of the Grand Canyon, illustrate Steno’s principles. The Grand Canyon was cut by the Colorado River through what is now northern Arizona, revealing layers that record millions of years of geologic history. Stratigraphy is the study of sedimentary sequences such as this one. [Fletcher and Baylis/ Photo Researchers.]&#10;"/>
                    <pic:cNvPicPr>
                      <a:picLocks noChangeAspect="1" noChangeArrowheads="1"/>
                    </pic:cNvPicPr>
                  </pic:nvPicPr>
                  <pic:blipFill>
                    <a:blip r:embed="rId9" cstate="print"/>
                    <a:srcRect/>
                    <a:stretch>
                      <a:fillRect/>
                    </a:stretch>
                  </pic:blipFill>
                  <pic:spPr bwMode="auto">
                    <a:xfrm>
                      <a:off x="0" y="0"/>
                      <a:ext cx="5943600" cy="2153285"/>
                    </a:xfrm>
                    <a:prstGeom prst="rect">
                      <a:avLst/>
                    </a:prstGeom>
                    <a:noFill/>
                    <a:ln w="9525">
                      <a:noFill/>
                      <a:miter lim="800000"/>
                      <a:headEnd/>
                      <a:tailEnd/>
                    </a:ln>
                  </pic:spPr>
                </pic:pic>
              </a:graphicData>
            </a:graphic>
          </wp:inline>
        </w:drawing>
      </w:r>
    </w:p>
    <w:p w:rsidR="0065522D" w:rsidRDefault="0065522D" w:rsidP="00223D25">
      <w:r w:rsidRPr="0065522D">
        <w:rPr>
          <w:noProof/>
        </w:rPr>
        <w:lastRenderedPageBreak/>
        <w:drawing>
          <wp:inline distT="0" distB="0" distL="0" distR="0">
            <wp:extent cx="5943600" cy="3447415"/>
            <wp:effectExtent l="19050" t="0" r="0" b="0"/>
            <wp:docPr id="7" name="Picture 6" descr="FIGURE 8.3 Fossils can be used to correlate rock layers in different outcrops.&#10;"/>
            <wp:cNvGraphicFramePr/>
            <a:graphic xmlns:a="http://schemas.openxmlformats.org/drawingml/2006/main">
              <a:graphicData uri="http://schemas.openxmlformats.org/drawingml/2006/picture">
                <pic:pic xmlns:pic="http://schemas.openxmlformats.org/drawingml/2006/picture">
                  <pic:nvPicPr>
                    <pic:cNvPr id="31747" name="Picture 5" descr="FIGURE 8.3 Fossils can be used to correlate rock layers in different outcrops.&#10;"/>
                    <pic:cNvPicPr>
                      <a:picLocks noChangeAspect="1" noChangeArrowheads="1"/>
                    </pic:cNvPicPr>
                  </pic:nvPicPr>
                  <pic:blipFill>
                    <a:blip r:embed="rId10" cstate="print"/>
                    <a:srcRect/>
                    <a:stretch>
                      <a:fillRect/>
                    </a:stretch>
                  </pic:blipFill>
                  <pic:spPr bwMode="auto">
                    <a:xfrm>
                      <a:off x="0" y="0"/>
                      <a:ext cx="5943600" cy="3447415"/>
                    </a:xfrm>
                    <a:prstGeom prst="rect">
                      <a:avLst/>
                    </a:prstGeom>
                    <a:noFill/>
                    <a:ln w="9525">
                      <a:noFill/>
                      <a:miter lim="800000"/>
                      <a:headEnd/>
                      <a:tailEnd/>
                    </a:ln>
                  </pic:spPr>
                </pic:pic>
              </a:graphicData>
            </a:graphic>
          </wp:inline>
        </w:drawing>
      </w:r>
    </w:p>
    <w:p w:rsidR="0065522D" w:rsidRDefault="0065522D" w:rsidP="00223D25">
      <w:r>
        <w:t>Radioactive Decay</w:t>
      </w:r>
    </w:p>
    <w:p w:rsidR="0065522D" w:rsidRDefault="0065522D" w:rsidP="00223D25">
      <w:r w:rsidRPr="0065522D">
        <w:rPr>
          <w:noProof/>
        </w:rPr>
        <w:drawing>
          <wp:inline distT="0" distB="0" distL="0" distR="0">
            <wp:extent cx="5943600" cy="3601720"/>
            <wp:effectExtent l="19050" t="0" r="0" b="0"/>
            <wp:docPr id="8" name="Picture 7" descr="FIGURE 8.11 The radioactive decay of rubidium to strontium.&#10;"/>
            <wp:cNvGraphicFramePr/>
            <a:graphic xmlns:a="http://schemas.openxmlformats.org/drawingml/2006/main">
              <a:graphicData uri="http://schemas.openxmlformats.org/drawingml/2006/picture">
                <pic:pic xmlns:pic="http://schemas.openxmlformats.org/drawingml/2006/picture">
                  <pic:nvPicPr>
                    <pic:cNvPr id="35843" name="Picture 5" descr="FIGURE 8.11 The radioactive decay of rubidium to strontium.&#10;"/>
                    <pic:cNvPicPr>
                      <a:picLocks noChangeAspect="1" noChangeArrowheads="1"/>
                    </pic:cNvPicPr>
                  </pic:nvPicPr>
                  <pic:blipFill>
                    <a:blip r:embed="rId11" cstate="print"/>
                    <a:srcRect/>
                    <a:stretch>
                      <a:fillRect/>
                    </a:stretch>
                  </pic:blipFill>
                  <pic:spPr bwMode="auto">
                    <a:xfrm>
                      <a:off x="0" y="0"/>
                      <a:ext cx="5943600" cy="3601720"/>
                    </a:xfrm>
                    <a:prstGeom prst="rect">
                      <a:avLst/>
                    </a:prstGeom>
                    <a:noFill/>
                    <a:ln w="9525">
                      <a:noFill/>
                      <a:miter lim="800000"/>
                      <a:headEnd/>
                      <a:tailEnd/>
                    </a:ln>
                  </pic:spPr>
                </pic:pic>
              </a:graphicData>
            </a:graphic>
          </wp:inline>
        </w:drawing>
      </w:r>
    </w:p>
    <w:p w:rsidR="0065522D" w:rsidRDefault="0065522D" w:rsidP="00223D25">
      <w:r w:rsidRPr="0065522D">
        <w:rPr>
          <w:noProof/>
        </w:rPr>
        <w:lastRenderedPageBreak/>
        <w:drawing>
          <wp:inline distT="0" distB="0" distL="0" distR="0">
            <wp:extent cx="5943600" cy="3900805"/>
            <wp:effectExtent l="19050" t="0" r="0" b="0"/>
            <wp:docPr id="9" name="Picture 8" descr="FIGURE 8.12 The number of radioactive atoms of any element in any mineral declines at a fixed rate over time. This rate of decay is given by the half-life of the isotope.&#10;"/>
            <wp:cNvGraphicFramePr/>
            <a:graphic xmlns:a="http://schemas.openxmlformats.org/drawingml/2006/main">
              <a:graphicData uri="http://schemas.openxmlformats.org/drawingml/2006/picture">
                <pic:pic xmlns:pic="http://schemas.openxmlformats.org/drawingml/2006/picture">
                  <pic:nvPicPr>
                    <pic:cNvPr id="37891" name="Picture 5" descr="FIGURE 8.12 The number of radioactive atoms of any element in any mineral declines at a fixed rate over time. This rate of decay is given by the half-life of the isotope.&#10;"/>
                    <pic:cNvPicPr>
                      <a:picLocks noChangeAspect="1" noChangeArrowheads="1"/>
                    </pic:cNvPicPr>
                  </pic:nvPicPr>
                  <pic:blipFill>
                    <a:blip r:embed="rId12" cstate="print"/>
                    <a:srcRect/>
                    <a:stretch>
                      <a:fillRect/>
                    </a:stretch>
                  </pic:blipFill>
                  <pic:spPr bwMode="auto">
                    <a:xfrm>
                      <a:off x="0" y="0"/>
                      <a:ext cx="5943600" cy="3900805"/>
                    </a:xfrm>
                    <a:prstGeom prst="rect">
                      <a:avLst/>
                    </a:prstGeom>
                    <a:noFill/>
                    <a:ln w="9525">
                      <a:noFill/>
                      <a:miter lim="800000"/>
                      <a:headEnd/>
                      <a:tailEnd/>
                    </a:ln>
                  </pic:spPr>
                </pic:pic>
              </a:graphicData>
            </a:graphic>
          </wp:inline>
        </w:drawing>
      </w:r>
    </w:p>
    <w:p w:rsidR="0065522D" w:rsidRDefault="0065522D" w:rsidP="00223D25">
      <w:r>
        <w:t>Half-Life Concept: Pennies/M&amp;M’s activity</w:t>
      </w:r>
    </w:p>
    <w:p w:rsidR="0065522D" w:rsidRDefault="0065522D" w:rsidP="00223D25">
      <w:r w:rsidRPr="0065522D">
        <w:rPr>
          <w:noProof/>
        </w:rPr>
        <w:drawing>
          <wp:inline distT="0" distB="0" distL="0" distR="0">
            <wp:extent cx="4648200" cy="3470275"/>
            <wp:effectExtent l="19050" t="0" r="0" b="0"/>
            <wp:docPr id="10" name="Picture 9" descr="radioactive-dating-game-screenshot.png"/>
            <wp:cNvGraphicFramePr/>
            <a:graphic xmlns:a="http://schemas.openxmlformats.org/drawingml/2006/main">
              <a:graphicData uri="http://schemas.openxmlformats.org/drawingml/2006/picture">
                <pic:pic xmlns:pic="http://schemas.openxmlformats.org/drawingml/2006/picture">
                  <pic:nvPicPr>
                    <pic:cNvPr id="41988" name="Picture 3" descr="radioactive-dating-game-screenshot.png"/>
                    <pic:cNvPicPr>
                      <a:picLocks noChangeAspect="1"/>
                    </pic:cNvPicPr>
                  </pic:nvPicPr>
                  <pic:blipFill>
                    <a:blip r:embed="rId13" cstate="print"/>
                    <a:srcRect/>
                    <a:stretch>
                      <a:fillRect/>
                    </a:stretch>
                  </pic:blipFill>
                  <pic:spPr bwMode="auto">
                    <a:xfrm>
                      <a:off x="0" y="0"/>
                      <a:ext cx="4648200" cy="3470275"/>
                    </a:xfrm>
                    <a:prstGeom prst="rect">
                      <a:avLst/>
                    </a:prstGeom>
                    <a:noFill/>
                    <a:ln w="9525">
                      <a:noFill/>
                      <a:miter lim="800000"/>
                      <a:headEnd/>
                      <a:tailEnd/>
                    </a:ln>
                  </pic:spPr>
                </pic:pic>
              </a:graphicData>
            </a:graphic>
          </wp:inline>
        </w:drawing>
      </w:r>
    </w:p>
    <w:p w:rsidR="0065522D" w:rsidRDefault="0065522D" w:rsidP="00223D25">
      <w:r>
        <w:t>PHET: The Dating Game</w:t>
      </w:r>
    </w:p>
    <w:p w:rsidR="0065522D" w:rsidRPr="0065522D" w:rsidRDefault="00FD3050" w:rsidP="0065522D">
      <w:hyperlink r:id="rId14" w:history="1">
        <w:r w:rsidR="0065522D" w:rsidRPr="0065522D">
          <w:rPr>
            <w:rStyle w:val="Hyperlink"/>
          </w:rPr>
          <w:t>http://phet.colorado.edu/en/simulation/radioactive-dating-game</w:t>
        </w:r>
      </w:hyperlink>
      <w:r w:rsidR="0065522D" w:rsidRPr="0065522D">
        <w:t xml:space="preserve"> </w:t>
      </w:r>
    </w:p>
    <w:p w:rsidR="0065522D" w:rsidRDefault="0065522D" w:rsidP="00223D25">
      <w:r w:rsidRPr="0065522D">
        <w:rPr>
          <w:noProof/>
        </w:rPr>
        <w:lastRenderedPageBreak/>
        <w:drawing>
          <wp:inline distT="0" distB="0" distL="0" distR="0">
            <wp:extent cx="5232400" cy="6248400"/>
            <wp:effectExtent l="19050" t="0" r="6350" b="0"/>
            <wp:docPr id="11" name="Picture 10" descr="FIGURE 9.17 The major tectonic provinces of North America reflect the processes that formed the continent.&#10;"/>
            <wp:cNvGraphicFramePr/>
            <a:graphic xmlns:a="http://schemas.openxmlformats.org/drawingml/2006/main">
              <a:graphicData uri="http://schemas.openxmlformats.org/drawingml/2006/picture">
                <pic:pic xmlns:pic="http://schemas.openxmlformats.org/drawingml/2006/picture">
                  <pic:nvPicPr>
                    <pic:cNvPr id="55299" name="Picture 6" descr="FIGURE 9.17 The major tectonic provinces of North America reflect the processes that formed the continent.&#10;"/>
                    <pic:cNvPicPr>
                      <a:picLocks noChangeAspect="1" noChangeArrowheads="1"/>
                    </pic:cNvPicPr>
                  </pic:nvPicPr>
                  <pic:blipFill>
                    <a:blip r:embed="rId15" cstate="print"/>
                    <a:srcRect/>
                    <a:stretch>
                      <a:fillRect/>
                    </a:stretch>
                  </pic:blipFill>
                  <pic:spPr bwMode="auto">
                    <a:xfrm>
                      <a:off x="0" y="0"/>
                      <a:ext cx="5232400" cy="6248400"/>
                    </a:xfrm>
                    <a:prstGeom prst="rect">
                      <a:avLst/>
                    </a:prstGeom>
                    <a:noFill/>
                    <a:ln w="9525">
                      <a:noFill/>
                      <a:miter lim="800000"/>
                      <a:headEnd/>
                      <a:tailEnd/>
                    </a:ln>
                  </pic:spPr>
                </pic:pic>
              </a:graphicData>
            </a:graphic>
          </wp:inline>
        </w:drawing>
      </w:r>
    </w:p>
    <w:p w:rsidR="0065522D" w:rsidRDefault="0065522D" w:rsidP="00223D25">
      <w:r>
        <w:t>K-T Impact</w:t>
      </w:r>
    </w:p>
    <w:p w:rsidR="0065522D" w:rsidRPr="0065522D" w:rsidRDefault="00FD3050" w:rsidP="0065522D">
      <w:hyperlink r:id="rId16" w:history="1">
        <w:r w:rsidR="0065522D" w:rsidRPr="0065522D">
          <w:rPr>
            <w:rStyle w:val="Hyperlink"/>
          </w:rPr>
          <w:t>http://www.psi.edu/projects/ktimpact/ktimpact.html</w:t>
        </w:r>
      </w:hyperlink>
      <w:r w:rsidR="0065522D" w:rsidRPr="0065522D">
        <w:t xml:space="preserve"> </w:t>
      </w:r>
    </w:p>
    <w:p w:rsidR="0065522D" w:rsidRPr="0065522D" w:rsidRDefault="00FD3050" w:rsidP="0065522D">
      <w:hyperlink r:id="rId17" w:history="1">
        <w:r w:rsidR="0065522D" w:rsidRPr="0065522D">
          <w:rPr>
            <w:rStyle w:val="Hyperlink"/>
          </w:rPr>
          <w:t>http://www.tufts.edu/as/wright_center/impact/impactc.html</w:t>
        </w:r>
      </w:hyperlink>
      <w:r w:rsidR="0065522D" w:rsidRPr="0065522D">
        <w:t xml:space="preserve"> </w:t>
      </w:r>
    </w:p>
    <w:p w:rsidR="0065522D" w:rsidRDefault="0065522D" w:rsidP="00223D25">
      <w:r w:rsidRPr="0065522D">
        <w:rPr>
          <w:noProof/>
        </w:rPr>
        <w:lastRenderedPageBreak/>
        <w:drawing>
          <wp:inline distT="0" distB="0" distL="0" distR="0">
            <wp:extent cx="5943600" cy="3967480"/>
            <wp:effectExtent l="19050" t="0" r="0" b="0"/>
            <wp:docPr id="14" name="Picture 13" descr="FIGURE 9.40 Knife marks a light-colored layer of clay containing both extraterrestrial materials and materials from local rocks at the Chicxulub impact site that accumulated in the Raton Basin of the southwestern United States following the asteroid impact that killed the dinosaurs. Such deposits have been found worldwide. [From David Kring and Daniel Dura, “The Day the World Burned,” Scientific American (December 2003): 104. © December 2003 by Scientific American. All rights reserved.]&#10;"/>
            <wp:cNvGraphicFramePr/>
            <a:graphic xmlns:a="http://schemas.openxmlformats.org/drawingml/2006/main">
              <a:graphicData uri="http://schemas.openxmlformats.org/drawingml/2006/picture">
                <pic:pic xmlns:pic="http://schemas.openxmlformats.org/drawingml/2006/picture">
                  <pic:nvPicPr>
                    <pic:cNvPr id="125955" name="Picture 5" descr="FIGURE 9.40 Knife marks a light-colored layer of clay containing both extraterrestrial materials and materials from local rocks at the Chicxulub impact site that accumulated in the Raton Basin of the southwestern United States following the asteroid impact that killed the dinosaurs. Such deposits have been found worldwide. [From David Kring and Daniel Dura, “The Day the World Burned,” Scientific American (December 2003): 104. © December 2003 by Scientific American. All rights reserved.]&#10;"/>
                    <pic:cNvPicPr>
                      <a:picLocks noChangeAspect="1" noChangeArrowheads="1"/>
                    </pic:cNvPicPr>
                  </pic:nvPicPr>
                  <pic:blipFill>
                    <a:blip r:embed="rId18" cstate="print"/>
                    <a:srcRect/>
                    <a:stretch>
                      <a:fillRect/>
                    </a:stretch>
                  </pic:blipFill>
                  <pic:spPr bwMode="auto">
                    <a:xfrm>
                      <a:off x="0" y="0"/>
                      <a:ext cx="5943600" cy="3967480"/>
                    </a:xfrm>
                    <a:prstGeom prst="rect">
                      <a:avLst/>
                    </a:prstGeom>
                    <a:noFill/>
                    <a:ln w="9525">
                      <a:noFill/>
                      <a:miter lim="800000"/>
                      <a:headEnd/>
                      <a:tailEnd/>
                    </a:ln>
                  </pic:spPr>
                </pic:pic>
              </a:graphicData>
            </a:graphic>
          </wp:inline>
        </w:drawing>
      </w:r>
    </w:p>
    <w:p w:rsidR="0065522D" w:rsidRDefault="0065522D" w:rsidP="00223D25">
      <w:r w:rsidRPr="0065522D">
        <w:rPr>
          <w:noProof/>
        </w:rPr>
        <w:drawing>
          <wp:inline distT="0" distB="0" distL="0" distR="0">
            <wp:extent cx="5943600" cy="2794635"/>
            <wp:effectExtent l="19050" t="0" r="0" b="0"/>
            <wp:docPr id="12" name="Picture 11" descr="KT-Impact.gif"/>
            <wp:cNvGraphicFramePr/>
            <a:graphic xmlns:a="http://schemas.openxmlformats.org/drawingml/2006/main">
              <a:graphicData uri="http://schemas.openxmlformats.org/drawingml/2006/picture">
                <pic:pic xmlns:pic="http://schemas.openxmlformats.org/drawingml/2006/picture">
                  <pic:nvPicPr>
                    <pic:cNvPr id="123914" name="Picture 9" descr="KT-Impact.gif"/>
                    <pic:cNvPicPr>
                      <a:picLocks noChangeAspect="1"/>
                    </pic:cNvPicPr>
                  </pic:nvPicPr>
                  <pic:blipFill>
                    <a:blip r:embed="rId19" cstate="print"/>
                    <a:srcRect/>
                    <a:stretch>
                      <a:fillRect/>
                    </a:stretch>
                  </pic:blipFill>
                  <pic:spPr bwMode="auto">
                    <a:xfrm>
                      <a:off x="0" y="0"/>
                      <a:ext cx="5943600" cy="2794635"/>
                    </a:xfrm>
                    <a:prstGeom prst="rect">
                      <a:avLst/>
                    </a:prstGeom>
                    <a:noFill/>
                    <a:ln w="9525">
                      <a:noFill/>
                      <a:miter lim="800000"/>
                      <a:headEnd/>
                      <a:tailEnd/>
                    </a:ln>
                  </pic:spPr>
                </pic:pic>
              </a:graphicData>
            </a:graphic>
          </wp:inline>
        </w:drawing>
      </w:r>
    </w:p>
    <w:p w:rsidR="0065522D" w:rsidRPr="00223D25" w:rsidRDefault="00382AFD" w:rsidP="00223D25">
      <w:proofErr w:type="spellStart"/>
      <w:r>
        <w:t>Gerda</w:t>
      </w:r>
      <w:proofErr w:type="spellEnd"/>
      <w:r>
        <w:t xml:space="preserve"> work disproves Yucatan crater idea?</w:t>
      </w:r>
    </w:p>
    <w:sectPr w:rsidR="0065522D" w:rsidRPr="00223D25" w:rsidSect="00223D2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23D25"/>
    <w:rsid w:val="00223D25"/>
    <w:rsid w:val="00382AFD"/>
    <w:rsid w:val="004E07D8"/>
    <w:rsid w:val="0065522D"/>
    <w:rsid w:val="006E4634"/>
    <w:rsid w:val="00FD30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6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3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D25"/>
    <w:rPr>
      <w:rFonts w:ascii="Tahoma" w:hAnsi="Tahoma" w:cs="Tahoma"/>
      <w:sz w:val="16"/>
      <w:szCs w:val="16"/>
    </w:rPr>
  </w:style>
  <w:style w:type="character" w:styleId="Hyperlink">
    <w:name w:val="Hyperlink"/>
    <w:basedOn w:val="DefaultParagraphFont"/>
    <w:uiPriority w:val="99"/>
    <w:unhideWhenUsed/>
    <w:rsid w:val="00223D25"/>
    <w:rPr>
      <w:color w:val="0000FF" w:themeColor="hyperlink"/>
      <w:u w:val="single"/>
    </w:rPr>
  </w:style>
  <w:style w:type="character" w:styleId="FollowedHyperlink">
    <w:name w:val="FollowedHyperlink"/>
    <w:basedOn w:val="DefaultParagraphFont"/>
    <w:uiPriority w:val="99"/>
    <w:semiHidden/>
    <w:unhideWhenUsed/>
    <w:rsid w:val="00382AF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7799769">
      <w:bodyDiv w:val="1"/>
      <w:marLeft w:val="0"/>
      <w:marRight w:val="0"/>
      <w:marTop w:val="0"/>
      <w:marBottom w:val="0"/>
      <w:divBdr>
        <w:top w:val="none" w:sz="0" w:space="0" w:color="auto"/>
        <w:left w:val="none" w:sz="0" w:space="0" w:color="auto"/>
        <w:bottom w:val="none" w:sz="0" w:space="0" w:color="auto"/>
        <w:right w:val="none" w:sz="0" w:space="0" w:color="auto"/>
      </w:divBdr>
    </w:div>
    <w:div w:id="910580896">
      <w:bodyDiv w:val="1"/>
      <w:marLeft w:val="0"/>
      <w:marRight w:val="0"/>
      <w:marTop w:val="0"/>
      <w:marBottom w:val="0"/>
      <w:divBdr>
        <w:top w:val="none" w:sz="0" w:space="0" w:color="auto"/>
        <w:left w:val="none" w:sz="0" w:space="0" w:color="auto"/>
        <w:bottom w:val="none" w:sz="0" w:space="0" w:color="auto"/>
        <w:right w:val="none" w:sz="0" w:space="0" w:color="auto"/>
      </w:divBdr>
    </w:div>
    <w:div w:id="1421751149">
      <w:bodyDiv w:val="1"/>
      <w:marLeft w:val="0"/>
      <w:marRight w:val="0"/>
      <w:marTop w:val="0"/>
      <w:marBottom w:val="0"/>
      <w:divBdr>
        <w:top w:val="none" w:sz="0" w:space="0" w:color="auto"/>
        <w:left w:val="none" w:sz="0" w:space="0" w:color="auto"/>
        <w:bottom w:val="none" w:sz="0" w:space="0" w:color="auto"/>
        <w:right w:val="none" w:sz="0" w:space="0" w:color="auto"/>
      </w:divBdr>
    </w:div>
    <w:div w:id="1998924558">
      <w:bodyDiv w:val="1"/>
      <w:marLeft w:val="0"/>
      <w:marRight w:val="0"/>
      <w:marTop w:val="0"/>
      <w:marBottom w:val="0"/>
      <w:divBdr>
        <w:top w:val="none" w:sz="0" w:space="0" w:color="auto"/>
        <w:left w:val="none" w:sz="0" w:space="0" w:color="auto"/>
        <w:bottom w:val="none" w:sz="0" w:space="0" w:color="auto"/>
        <w:right w:val="none" w:sz="0" w:space="0" w:color="auto"/>
      </w:divBdr>
    </w:div>
    <w:div w:id="209743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lpi.usra.edu/education/timeline/" TargetMode="External"/><Relationship Id="rId12" Type="http://schemas.openxmlformats.org/officeDocument/2006/relationships/image" Target="media/image8.jpeg"/><Relationship Id="rId17" Type="http://schemas.openxmlformats.org/officeDocument/2006/relationships/hyperlink" Target="http://www.tufts.edu/as/wright_center/impact/impactc.html" TargetMode="External"/><Relationship Id="rId2" Type="http://schemas.openxmlformats.org/officeDocument/2006/relationships/settings" Target="settings.xml"/><Relationship Id="rId16" Type="http://schemas.openxmlformats.org/officeDocument/2006/relationships/hyperlink" Target="http://www.psi.edu/projects/ktimpact/ktimpact.html"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2.pn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phet.colorado.edu/en/simulation/radioactive-dating-ga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115</Words>
  <Characters>662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dc:creator>
  <cp:lastModifiedBy>Molly</cp:lastModifiedBy>
  <cp:revision>3</cp:revision>
  <dcterms:created xsi:type="dcterms:W3CDTF">2011-02-08T17:26:00Z</dcterms:created>
  <dcterms:modified xsi:type="dcterms:W3CDTF">2011-02-09T00:56:00Z</dcterms:modified>
</cp:coreProperties>
</file>