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6BC" w:rsidRPr="004473A7" w:rsidRDefault="00E92546">
      <w:pPr>
        <w:rPr>
          <w:rFonts w:ascii="Arial" w:hAnsi="Arial" w:cs="Arial"/>
          <w:color w:val="FF0000"/>
          <w:sz w:val="24"/>
          <w:szCs w:val="24"/>
        </w:rPr>
      </w:pPr>
      <w:r w:rsidRPr="004473A7">
        <w:rPr>
          <w:rFonts w:ascii="Arial" w:hAnsi="Arial" w:cs="Arial"/>
          <w:color w:val="FF0000"/>
          <w:sz w:val="24"/>
          <w:szCs w:val="24"/>
          <w:highlight w:val="yellow"/>
        </w:rPr>
        <w:t>RESULTADOS MÁS RELEVANTES</w:t>
      </w:r>
    </w:p>
    <w:p w:rsidR="00E92546" w:rsidRPr="004473A7" w:rsidRDefault="00E92546" w:rsidP="00E92546">
      <w:pPr>
        <w:pStyle w:val="Prrafodelista"/>
        <w:numPr>
          <w:ilvl w:val="0"/>
          <w:numId w:val="1"/>
        </w:numPr>
        <w:rPr>
          <w:rFonts w:ascii="Arial" w:hAnsi="Arial" w:cs="Arial"/>
          <w:sz w:val="24"/>
          <w:szCs w:val="24"/>
        </w:rPr>
      </w:pPr>
      <w:r w:rsidRPr="004473A7">
        <w:rPr>
          <w:rFonts w:ascii="Arial" w:hAnsi="Arial" w:cs="Arial"/>
          <w:color w:val="000000"/>
          <w:sz w:val="24"/>
          <w:szCs w:val="24"/>
        </w:rPr>
        <w:t>El número total de espacios analizados son 818, de los cuales 482 espacios deportivos y 336 campos de juego.</w:t>
      </w:r>
    </w:p>
    <w:p w:rsidR="00E92546" w:rsidRPr="004473A7" w:rsidRDefault="00E92546" w:rsidP="00E92546">
      <w:pPr>
        <w:pStyle w:val="Prrafodelista"/>
        <w:numPr>
          <w:ilvl w:val="0"/>
          <w:numId w:val="1"/>
        </w:numPr>
        <w:rPr>
          <w:rFonts w:ascii="Arial" w:hAnsi="Arial" w:cs="Arial"/>
          <w:sz w:val="24"/>
          <w:szCs w:val="24"/>
        </w:rPr>
      </w:pPr>
      <w:r w:rsidRPr="004473A7">
        <w:rPr>
          <w:rFonts w:ascii="Arial" w:hAnsi="Arial" w:cs="Arial"/>
          <w:color w:val="000000"/>
          <w:sz w:val="24"/>
          <w:szCs w:val="24"/>
        </w:rPr>
        <w:t>Son 74 los centros que disponen de algún tipo de espacio cubierto dedicado a la práctica de la educación física.</w:t>
      </w:r>
    </w:p>
    <w:p w:rsidR="00E92546" w:rsidRPr="004473A7" w:rsidRDefault="00E92546" w:rsidP="00E92546">
      <w:pPr>
        <w:pStyle w:val="Prrafodelista"/>
        <w:numPr>
          <w:ilvl w:val="0"/>
          <w:numId w:val="1"/>
        </w:numPr>
        <w:rPr>
          <w:rFonts w:ascii="Arial" w:hAnsi="Arial" w:cs="Arial"/>
          <w:sz w:val="24"/>
          <w:szCs w:val="24"/>
        </w:rPr>
      </w:pPr>
      <w:r w:rsidRPr="004473A7">
        <w:rPr>
          <w:rFonts w:ascii="Arial" w:hAnsi="Arial" w:cs="Arial"/>
          <w:color w:val="000000"/>
          <w:sz w:val="24"/>
          <w:szCs w:val="24"/>
        </w:rPr>
        <w:t xml:space="preserve">Son 19 las salas que cumplen con los requisitos mínimos en cuanto a superficie total (25,7%), aunque de ellas sólo 14 se ajustan a los valores dimensionales 27 x 15 x </w:t>
      </w:r>
      <w:smartTag w:uri="urn:schemas-microsoft-com:office:smarttags" w:element="metricconverter">
        <w:smartTagPr>
          <w:attr w:name="ProductID" w:val="4 m"/>
        </w:smartTagPr>
        <w:r w:rsidRPr="004473A7">
          <w:rPr>
            <w:rFonts w:ascii="Arial" w:hAnsi="Arial" w:cs="Arial"/>
            <w:color w:val="000000"/>
            <w:sz w:val="24"/>
            <w:szCs w:val="24"/>
          </w:rPr>
          <w:t>4 m</w:t>
        </w:r>
      </w:smartTag>
      <w:r w:rsidRPr="004473A7">
        <w:rPr>
          <w:rFonts w:ascii="Arial" w:hAnsi="Arial" w:cs="Arial"/>
          <w:color w:val="000000"/>
          <w:sz w:val="24"/>
          <w:szCs w:val="24"/>
        </w:rPr>
        <w:t>.</w:t>
      </w:r>
    </w:p>
    <w:p w:rsidR="00E92546" w:rsidRPr="004473A7" w:rsidRDefault="00E92546" w:rsidP="00E92546">
      <w:pPr>
        <w:pStyle w:val="Prrafodelista"/>
        <w:numPr>
          <w:ilvl w:val="0"/>
          <w:numId w:val="1"/>
        </w:numPr>
        <w:rPr>
          <w:rFonts w:ascii="Arial" w:hAnsi="Arial" w:cs="Arial"/>
          <w:sz w:val="24"/>
          <w:szCs w:val="24"/>
        </w:rPr>
      </w:pPr>
      <w:r w:rsidRPr="004473A7">
        <w:rPr>
          <w:rFonts w:ascii="Arial" w:hAnsi="Arial" w:cs="Arial"/>
          <w:color w:val="000000"/>
          <w:sz w:val="24"/>
          <w:szCs w:val="24"/>
        </w:rPr>
        <w:t>En total se han valorado 66 campos de juego dentro de las instalaciones cubiertas, pero sólo 5 de ellos cumplen con las medidas reglamentarias y de seguridad establecidas.</w:t>
      </w:r>
    </w:p>
    <w:p w:rsidR="00E92546" w:rsidRPr="004473A7" w:rsidRDefault="00E92546" w:rsidP="00E92546">
      <w:pPr>
        <w:pStyle w:val="Prrafodelista"/>
        <w:numPr>
          <w:ilvl w:val="0"/>
          <w:numId w:val="1"/>
        </w:numPr>
        <w:rPr>
          <w:rFonts w:ascii="Arial" w:hAnsi="Arial" w:cs="Arial"/>
          <w:sz w:val="24"/>
          <w:szCs w:val="24"/>
        </w:rPr>
      </w:pPr>
      <w:r w:rsidRPr="004473A7">
        <w:rPr>
          <w:rFonts w:ascii="Arial" w:hAnsi="Arial" w:cs="Arial"/>
          <w:color w:val="000000"/>
          <w:sz w:val="24"/>
          <w:szCs w:val="24"/>
        </w:rPr>
        <w:t>El 55,4% de las salas presenta deficiencias en lo que a planimetría de paredes lisas se refiere. La más notable es la existencia de pilares, cuadros contra incendios, extintores y columnas.</w:t>
      </w:r>
    </w:p>
    <w:p w:rsidR="00E92546" w:rsidRPr="004473A7" w:rsidRDefault="00E92546" w:rsidP="00E92546">
      <w:pPr>
        <w:pStyle w:val="Prrafodelista"/>
        <w:numPr>
          <w:ilvl w:val="0"/>
          <w:numId w:val="1"/>
        </w:numPr>
        <w:rPr>
          <w:rFonts w:ascii="Arial" w:hAnsi="Arial" w:cs="Arial"/>
          <w:sz w:val="24"/>
          <w:szCs w:val="24"/>
        </w:rPr>
      </w:pPr>
      <w:r w:rsidRPr="004473A7">
        <w:rPr>
          <w:rFonts w:ascii="Arial" w:hAnsi="Arial" w:cs="Arial"/>
          <w:color w:val="000000"/>
          <w:sz w:val="24"/>
          <w:szCs w:val="24"/>
        </w:rPr>
        <w:t>Sólo dos de los 93 centros (2,15%) cuentan con una sala escolar que cumpla plenamente con los requisitos dimensionales y de seguridad establecidos.</w:t>
      </w:r>
    </w:p>
    <w:p w:rsidR="00E92546" w:rsidRPr="004473A7" w:rsidRDefault="00E92546" w:rsidP="00E92546">
      <w:pPr>
        <w:pStyle w:val="Prrafodelista"/>
        <w:numPr>
          <w:ilvl w:val="0"/>
          <w:numId w:val="1"/>
        </w:numPr>
        <w:rPr>
          <w:rFonts w:ascii="Arial" w:hAnsi="Arial" w:cs="Arial"/>
          <w:sz w:val="24"/>
          <w:szCs w:val="24"/>
        </w:rPr>
      </w:pPr>
      <w:r w:rsidRPr="004473A7">
        <w:rPr>
          <w:rFonts w:ascii="Arial" w:hAnsi="Arial" w:cs="Arial"/>
          <w:color w:val="000000"/>
          <w:sz w:val="24"/>
          <w:szCs w:val="24"/>
        </w:rPr>
        <w:t>En referencia a los locales anexos podemos decir que de los 93 centros que componen la muestra, 72 cuentan con algún tipo de vestuarios y 21 carecen de ellos.</w:t>
      </w:r>
    </w:p>
    <w:p w:rsidR="00E92546" w:rsidRPr="004473A7" w:rsidRDefault="00E92546" w:rsidP="00E92546">
      <w:pPr>
        <w:pStyle w:val="Prrafodelista"/>
        <w:numPr>
          <w:ilvl w:val="0"/>
          <w:numId w:val="1"/>
        </w:numPr>
        <w:rPr>
          <w:rFonts w:ascii="Arial" w:hAnsi="Arial" w:cs="Arial"/>
          <w:color w:val="000000"/>
          <w:sz w:val="24"/>
          <w:szCs w:val="24"/>
        </w:rPr>
      </w:pPr>
      <w:r w:rsidRPr="004473A7">
        <w:rPr>
          <w:rFonts w:ascii="Arial" w:hAnsi="Arial" w:cs="Arial"/>
          <w:color w:val="000000"/>
          <w:sz w:val="24"/>
          <w:szCs w:val="24"/>
        </w:rPr>
        <w:t>Son 68 los vestuarios que disponen de iluminación y ventilación exteriores, pero sólo 22 cuentan con suelo antideslizante. Además, el 76,4% no son locales que puedan ser utilizados por personas con minusvalías; los tipos de barrera más frecuentes son la carencia de rampas de acceso, las dimensiones de las puertas y el espacio de las duchas.</w:t>
      </w:r>
    </w:p>
    <w:p w:rsidR="00E92546" w:rsidRPr="004473A7" w:rsidRDefault="00E92546" w:rsidP="00E92546">
      <w:pPr>
        <w:pStyle w:val="Prrafodelista"/>
        <w:numPr>
          <w:ilvl w:val="0"/>
          <w:numId w:val="1"/>
        </w:numPr>
        <w:rPr>
          <w:rFonts w:ascii="Arial" w:hAnsi="Arial" w:cs="Arial"/>
          <w:sz w:val="24"/>
          <w:szCs w:val="24"/>
        </w:rPr>
      </w:pPr>
      <w:r w:rsidRPr="004473A7">
        <w:rPr>
          <w:rFonts w:ascii="Arial" w:hAnsi="Arial" w:cs="Arial"/>
          <w:color w:val="000000"/>
          <w:sz w:val="24"/>
          <w:szCs w:val="24"/>
        </w:rPr>
        <w:t>Tan sólo 58 centros disponen de vestuario para el profesor.</w:t>
      </w:r>
    </w:p>
    <w:p w:rsidR="00E92546" w:rsidRPr="004473A7" w:rsidRDefault="00E92546" w:rsidP="00E92546">
      <w:pPr>
        <w:pStyle w:val="Prrafodelista"/>
        <w:numPr>
          <w:ilvl w:val="0"/>
          <w:numId w:val="1"/>
        </w:numPr>
        <w:rPr>
          <w:rFonts w:ascii="Arial" w:hAnsi="Arial" w:cs="Arial"/>
          <w:sz w:val="24"/>
          <w:szCs w:val="24"/>
        </w:rPr>
      </w:pPr>
      <w:r w:rsidRPr="004473A7">
        <w:rPr>
          <w:rFonts w:ascii="Arial" w:hAnsi="Arial" w:cs="Arial"/>
          <w:color w:val="000000"/>
          <w:sz w:val="24"/>
          <w:szCs w:val="24"/>
        </w:rPr>
        <w:t>Algo más de la mitad de los centros (55,9%) dispone de almacén para el material deportivo.</w:t>
      </w:r>
    </w:p>
    <w:p w:rsidR="00E92546" w:rsidRPr="004473A7" w:rsidRDefault="00E92546" w:rsidP="00E92546">
      <w:pPr>
        <w:pStyle w:val="Prrafodelista"/>
        <w:numPr>
          <w:ilvl w:val="0"/>
          <w:numId w:val="1"/>
        </w:numPr>
        <w:rPr>
          <w:rFonts w:ascii="Arial" w:hAnsi="Arial" w:cs="Arial"/>
          <w:sz w:val="24"/>
          <w:szCs w:val="24"/>
        </w:rPr>
      </w:pPr>
      <w:r w:rsidRPr="004473A7">
        <w:rPr>
          <w:rFonts w:ascii="Arial" w:hAnsi="Arial" w:cs="Arial"/>
          <w:color w:val="000000"/>
          <w:sz w:val="24"/>
          <w:szCs w:val="24"/>
        </w:rPr>
        <w:t>El 94,6% de los centros dispone de algún tipo de pista al aire libre. El 41,9% cuenta con dos espacios de este tipo, destinados a balonmano, baloncesto y voleibol.</w:t>
      </w:r>
    </w:p>
    <w:p w:rsidR="00E92546" w:rsidRPr="004473A7" w:rsidRDefault="00E92546" w:rsidP="00E92546">
      <w:pPr>
        <w:pStyle w:val="Prrafodelista"/>
        <w:numPr>
          <w:ilvl w:val="0"/>
          <w:numId w:val="1"/>
        </w:numPr>
        <w:rPr>
          <w:rFonts w:ascii="Arial" w:hAnsi="Arial" w:cs="Arial"/>
          <w:sz w:val="24"/>
          <w:szCs w:val="24"/>
        </w:rPr>
      </w:pPr>
      <w:r w:rsidRPr="004473A7">
        <w:rPr>
          <w:rFonts w:ascii="Arial" w:hAnsi="Arial" w:cs="Arial"/>
          <w:color w:val="000000"/>
          <w:sz w:val="24"/>
          <w:szCs w:val="24"/>
        </w:rPr>
        <w:t xml:space="preserve">Únicamente 32 centros cumplen los requisitos mínimos en cuanto a la necesidad de contar, al menos, con una pista cuyas dimensiones sean de 22 x </w:t>
      </w:r>
      <w:smartTag w:uri="urn:schemas-microsoft-com:office:smarttags" w:element="metricconverter">
        <w:smartTagPr>
          <w:attr w:name="ProductID" w:val="44 m"/>
        </w:smartTagPr>
        <w:r w:rsidRPr="004473A7">
          <w:rPr>
            <w:rFonts w:ascii="Arial" w:hAnsi="Arial" w:cs="Arial"/>
            <w:color w:val="000000"/>
            <w:sz w:val="24"/>
            <w:szCs w:val="24"/>
          </w:rPr>
          <w:t>44 m</w:t>
        </w:r>
      </w:smartTag>
      <w:r w:rsidRPr="004473A7">
        <w:rPr>
          <w:rFonts w:ascii="Arial" w:hAnsi="Arial" w:cs="Arial"/>
          <w:color w:val="000000"/>
          <w:sz w:val="24"/>
          <w:szCs w:val="24"/>
        </w:rPr>
        <w:t>.</w:t>
      </w:r>
    </w:p>
    <w:p w:rsidR="00E92546" w:rsidRPr="004473A7" w:rsidRDefault="00E92546" w:rsidP="00E92546">
      <w:pPr>
        <w:pStyle w:val="Prrafodelista"/>
        <w:numPr>
          <w:ilvl w:val="0"/>
          <w:numId w:val="1"/>
        </w:numPr>
        <w:rPr>
          <w:rFonts w:ascii="Arial" w:hAnsi="Arial" w:cs="Arial"/>
          <w:sz w:val="24"/>
          <w:szCs w:val="24"/>
        </w:rPr>
      </w:pPr>
      <w:r w:rsidRPr="004473A7">
        <w:rPr>
          <w:rFonts w:ascii="Arial" w:hAnsi="Arial" w:cs="Arial"/>
          <w:color w:val="000000"/>
          <w:sz w:val="24"/>
          <w:szCs w:val="24"/>
        </w:rPr>
        <w:t>De las 156 pistas valoradas, 98 presentan continuidad y 58 carecen de ella, siendo el escalón y el bordillo los elementos que con más frecuencia interrumpen dicha continuidad.</w:t>
      </w:r>
    </w:p>
    <w:p w:rsidR="00E92546" w:rsidRPr="004473A7" w:rsidRDefault="00E92546" w:rsidP="00E92546">
      <w:pPr>
        <w:pStyle w:val="Prrafodelista"/>
        <w:numPr>
          <w:ilvl w:val="0"/>
          <w:numId w:val="1"/>
        </w:numPr>
        <w:rPr>
          <w:rFonts w:ascii="Arial" w:hAnsi="Arial" w:cs="Arial"/>
          <w:sz w:val="24"/>
          <w:szCs w:val="24"/>
        </w:rPr>
      </w:pPr>
      <w:r w:rsidRPr="004473A7">
        <w:rPr>
          <w:rFonts w:ascii="Arial" w:hAnsi="Arial" w:cs="Arial"/>
          <w:color w:val="000000"/>
          <w:sz w:val="24"/>
          <w:szCs w:val="24"/>
        </w:rPr>
        <w:t>65,6% del total de los centros no cumple con los requisitos mínimos establecidos para la existencia de pistas polideportivas. Únicamente 37 pistas, de las 156 valoradas, cumplen con las medidas establecidas como mínimas y sólo 3 de las pistas presentan todos los requisitos dimensionales y de seguridad estipulados.</w:t>
      </w:r>
    </w:p>
    <w:p w:rsidR="00E92546" w:rsidRPr="004473A7" w:rsidRDefault="004473A7" w:rsidP="00E92546">
      <w:pPr>
        <w:pStyle w:val="Prrafodelista"/>
        <w:numPr>
          <w:ilvl w:val="0"/>
          <w:numId w:val="1"/>
        </w:numPr>
        <w:rPr>
          <w:rFonts w:ascii="Arial" w:hAnsi="Arial" w:cs="Arial"/>
          <w:sz w:val="24"/>
          <w:szCs w:val="24"/>
        </w:rPr>
      </w:pPr>
      <w:r w:rsidRPr="004473A7">
        <w:rPr>
          <w:rFonts w:ascii="Arial" w:hAnsi="Arial" w:cs="Arial"/>
          <w:color w:val="000000"/>
          <w:sz w:val="24"/>
          <w:szCs w:val="24"/>
        </w:rPr>
        <w:lastRenderedPageBreak/>
        <w:t>En relación con la opinión del profesorado, concretar que más de la mitad (59,3%) considera que las instalaciones de las que dispone no son suficientes, que no son demasiado buenas en cuanto a calidad (50%) y que las mismas resultan inseguras (51,8%).</w:t>
      </w:r>
    </w:p>
    <w:p w:rsidR="004473A7" w:rsidRPr="004473A7" w:rsidRDefault="004473A7" w:rsidP="00E92546">
      <w:pPr>
        <w:pStyle w:val="Prrafodelista"/>
        <w:numPr>
          <w:ilvl w:val="0"/>
          <w:numId w:val="1"/>
        </w:numPr>
        <w:rPr>
          <w:rFonts w:ascii="Arial" w:hAnsi="Arial" w:cs="Arial"/>
          <w:sz w:val="24"/>
          <w:szCs w:val="24"/>
        </w:rPr>
      </w:pPr>
      <w:r w:rsidRPr="004473A7">
        <w:rPr>
          <w:rFonts w:ascii="Arial" w:hAnsi="Arial" w:cs="Arial"/>
          <w:color w:val="000000"/>
          <w:sz w:val="24"/>
          <w:szCs w:val="24"/>
        </w:rPr>
        <w:t>El material de que disponen es escaso o muy escaso (53%), aunque el 48% considera que dicho material es de buena calidad y que se trata de un material seguro (57,4%).</w:t>
      </w:r>
    </w:p>
    <w:p w:rsidR="004473A7" w:rsidRPr="004473A7" w:rsidRDefault="004473A7" w:rsidP="00E92546">
      <w:pPr>
        <w:pStyle w:val="Prrafodelista"/>
        <w:numPr>
          <w:ilvl w:val="0"/>
          <w:numId w:val="1"/>
        </w:numPr>
        <w:rPr>
          <w:rFonts w:ascii="Arial" w:hAnsi="Arial" w:cs="Arial"/>
          <w:sz w:val="24"/>
          <w:szCs w:val="24"/>
        </w:rPr>
      </w:pPr>
      <w:r w:rsidRPr="004473A7">
        <w:rPr>
          <w:rFonts w:ascii="Arial" w:hAnsi="Arial" w:cs="Arial"/>
          <w:color w:val="000000"/>
          <w:sz w:val="24"/>
          <w:szCs w:val="24"/>
        </w:rPr>
        <w:t>El 65,7% del profesorado piensa que los contenidos del currículo pueden mejorarse y la mitad de ellos (50%) opina que las propuestas que en él se realizan no les otorgan suficientes garantías de seguridad.</w:t>
      </w:r>
    </w:p>
    <w:p w:rsidR="004473A7" w:rsidRPr="004473A7" w:rsidRDefault="004473A7" w:rsidP="00E92546">
      <w:pPr>
        <w:pStyle w:val="Prrafodelista"/>
        <w:numPr>
          <w:ilvl w:val="0"/>
          <w:numId w:val="1"/>
        </w:numPr>
        <w:rPr>
          <w:rFonts w:ascii="Arial" w:hAnsi="Arial" w:cs="Arial"/>
          <w:sz w:val="24"/>
          <w:szCs w:val="24"/>
        </w:rPr>
      </w:pPr>
      <w:r w:rsidRPr="004473A7">
        <w:rPr>
          <w:rFonts w:ascii="Arial" w:hAnsi="Arial" w:cs="Arial"/>
          <w:color w:val="000000"/>
          <w:sz w:val="24"/>
          <w:szCs w:val="24"/>
        </w:rPr>
        <w:t>El 21,3% dice haber tenido algún accidente derivado de las deficiencias o carencias en las instalaciones o el material. En este aspecto, el de la responsabilidad civil, los profesores manifiestan sentirse desprotegidos (62%) por la Administración.</w:t>
      </w:r>
    </w:p>
    <w:sectPr w:rsidR="004473A7" w:rsidRPr="004473A7" w:rsidSect="009F16B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B50FB"/>
    <w:multiLevelType w:val="hybridMultilevel"/>
    <w:tmpl w:val="65AACAC4"/>
    <w:lvl w:ilvl="0" w:tplc="5688310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2546"/>
    <w:rsid w:val="004473A7"/>
    <w:rsid w:val="009F16BC"/>
    <w:rsid w:val="00E925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6B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254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501</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cp:lastModifiedBy>
  <cp:revision>1</cp:revision>
  <dcterms:created xsi:type="dcterms:W3CDTF">2010-12-18T12:11:00Z</dcterms:created>
  <dcterms:modified xsi:type="dcterms:W3CDTF">2010-12-18T12:24:00Z</dcterms:modified>
</cp:coreProperties>
</file>