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90B" w:rsidRPr="00A8190B" w:rsidRDefault="00A8190B" w:rsidP="00A8190B">
      <w:pPr>
        <w:spacing w:after="0" w:line="240" w:lineRule="auto"/>
        <w:jc w:val="center"/>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7"/>
          <w:szCs w:val="27"/>
          <w:u w:val="single"/>
          <w:lang w:val="es-AR" w:eastAsia="es-ES"/>
        </w:rPr>
        <w:t>INTERNET COMO HERRAMIENTA EDUCATIVA</w:t>
      </w:r>
    </w:p>
    <w:p w:rsidR="00A8190B" w:rsidRPr="00A8190B" w:rsidRDefault="00A8190B" w:rsidP="00A8190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tbl>
      <w:tblPr>
        <w:tblW w:w="5000" w:type="pct"/>
        <w:jc w:val="center"/>
        <w:tblCellSpacing w:w="0" w:type="dxa"/>
        <w:tblCellMar>
          <w:left w:w="0" w:type="dxa"/>
          <w:right w:w="0" w:type="dxa"/>
        </w:tblCellMar>
        <w:tblLook w:val="04A0"/>
      </w:tblPr>
      <w:tblGrid>
        <w:gridCol w:w="3572"/>
        <w:gridCol w:w="1020"/>
        <w:gridCol w:w="3912"/>
      </w:tblGrid>
      <w:tr w:rsidR="00A8190B" w:rsidRPr="00A8190B" w:rsidTr="00A8190B">
        <w:trPr>
          <w:tblCellSpacing w:w="0" w:type="dxa"/>
          <w:jc w:val="center"/>
        </w:trPr>
        <w:tc>
          <w:tcPr>
            <w:tcW w:w="2100" w:type="pct"/>
            <w:vAlign w:val="center"/>
            <w:hideMark/>
          </w:tcPr>
          <w:p w:rsidR="00A8190B" w:rsidRPr="00A8190B" w:rsidRDefault="00A8190B" w:rsidP="00A8190B">
            <w:pPr>
              <w:spacing w:before="100" w:beforeAutospacing="1" w:after="100" w:afterAutospacing="1" w:line="240" w:lineRule="auto"/>
              <w:jc w:val="right"/>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122170" cy="1466215"/>
                  <wp:effectExtent l="19050" t="0" r="0" b="0"/>
                  <wp:docPr id="1" name="Imagen 1" descr="Alum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umnos"/>
                          <pic:cNvPicPr>
                            <a:picLocks noChangeAspect="1" noChangeArrowheads="1"/>
                          </pic:cNvPicPr>
                        </pic:nvPicPr>
                        <pic:blipFill>
                          <a:blip r:embed="rId4"/>
                          <a:srcRect/>
                          <a:stretch>
                            <a:fillRect/>
                          </a:stretch>
                        </pic:blipFill>
                        <pic:spPr bwMode="auto">
                          <a:xfrm>
                            <a:off x="0" y="0"/>
                            <a:ext cx="2122170" cy="1466215"/>
                          </a:xfrm>
                          <a:prstGeom prst="rect">
                            <a:avLst/>
                          </a:prstGeom>
                          <a:noFill/>
                          <a:ln w="9525">
                            <a:noFill/>
                            <a:miter lim="800000"/>
                            <a:headEnd/>
                            <a:tailEnd/>
                          </a:ln>
                        </pic:spPr>
                      </pic:pic>
                    </a:graphicData>
                  </a:graphic>
                </wp:inline>
              </w:drawing>
            </w:r>
          </w:p>
        </w:tc>
        <w:tc>
          <w:tcPr>
            <w:tcW w:w="600" w:type="pct"/>
            <w:vAlign w:val="center"/>
            <w:hideMark/>
          </w:tcPr>
          <w:p w:rsidR="00A8190B" w:rsidRPr="00A8190B" w:rsidRDefault="00A8190B" w:rsidP="00A8190B">
            <w:pPr>
              <w:spacing w:after="0" w:line="240" w:lineRule="auto"/>
              <w:rPr>
                <w:rFonts w:ascii="Times New Roman" w:eastAsia="Times New Roman" w:hAnsi="Times New Roman" w:cs="Times New Roman"/>
                <w:sz w:val="24"/>
                <w:szCs w:val="24"/>
                <w:lang w:eastAsia="es-ES"/>
              </w:rPr>
            </w:pPr>
          </w:p>
        </w:tc>
        <w:tc>
          <w:tcPr>
            <w:tcW w:w="2300" w:type="pct"/>
            <w:vAlign w:val="center"/>
            <w:hideMark/>
          </w:tcPr>
          <w:p w:rsidR="00A8190B" w:rsidRPr="00A8190B" w:rsidRDefault="00A8190B" w:rsidP="00A8190B">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237105" cy="1524000"/>
                  <wp:effectExtent l="19050" t="0" r="0" b="0"/>
                  <wp:docPr id="2" name="Imagen 2" descr="Alum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umnos"/>
                          <pic:cNvPicPr>
                            <a:picLocks noChangeAspect="1" noChangeArrowheads="1"/>
                          </pic:cNvPicPr>
                        </pic:nvPicPr>
                        <pic:blipFill>
                          <a:blip r:embed="rId5"/>
                          <a:srcRect/>
                          <a:stretch>
                            <a:fillRect/>
                          </a:stretch>
                        </pic:blipFill>
                        <pic:spPr bwMode="auto">
                          <a:xfrm>
                            <a:off x="0" y="0"/>
                            <a:ext cx="2237105" cy="1524000"/>
                          </a:xfrm>
                          <a:prstGeom prst="rect">
                            <a:avLst/>
                          </a:prstGeom>
                          <a:noFill/>
                          <a:ln w="9525">
                            <a:noFill/>
                            <a:miter lim="800000"/>
                            <a:headEnd/>
                            <a:tailEnd/>
                          </a:ln>
                        </pic:spPr>
                      </pic:pic>
                    </a:graphicData>
                  </a:graphic>
                </wp:inline>
              </w:drawing>
            </w:r>
          </w:p>
        </w:tc>
      </w:tr>
    </w:tbl>
    <w:p w:rsidR="00A8190B" w:rsidRPr="00A8190B" w:rsidRDefault="00A8190B" w:rsidP="00A8190B">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La red de interconexión Internet, constituye un soporte didáctico para el aprendizaje tanto en el ámbito de la enseñanza presencial como en el de la enseñanza a distancia.</w:t>
      </w:r>
    </w:p>
    <w:p w:rsidR="00A8190B" w:rsidRPr="00A8190B" w:rsidRDefault="00A8190B" w:rsidP="00A8190B">
      <w:pPr>
        <w:spacing w:before="100" w:beforeAutospacing="1" w:after="100" w:afterAutospacing="1" w:line="240" w:lineRule="auto"/>
        <w:ind w:left="720"/>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xml:space="preserve">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u w:val="single"/>
          <w:lang w:val="es-AR" w:eastAsia="es-ES"/>
        </w:rPr>
        <w:t>FUNDAMENTACIÓN</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Internet es una red de redes de computadoras que fue creada para transmitir información  científica y militar, pero con el tiempo los educadores comprobaron que podía utilizarse con los alumnos como un instrumento de aprendizaje. El uso de la Internet en las aulas es muy útil porque es una poderosa herramienta que motiva y asombra, permite que los alumnos puedan aprender a su ritmo; nos brinda acceso a base de datos y publicaciones electrónicas; y  permite el intercambio de experiencias didácticas, tutorías en línea, trabajo con contenidos interactivos multimedia, correo electrónico, acceso a programas informáticos educativos, etc.   </w:t>
      </w:r>
    </w:p>
    <w:p w:rsidR="00A8190B" w:rsidRPr="00A8190B" w:rsidRDefault="00A8190B" w:rsidP="00A8190B">
      <w:pPr>
        <w:spacing w:after="0" w:line="240" w:lineRule="auto"/>
        <w:ind w:left="720"/>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Sin Internet no hay aprendizaje posible hoy, pero debemos abandonar muchos prejuicios para poder usarlo con inteligencia, eso requiere un cambio de actitud ante el conocimiento que ya se encuentra disponible en la red, habrá que saber buscarlo y aprender a interactuar con las personas que producen ese conocimiento. Es decir que la Internet está provocando nuevas actitudes y cambios entre los actores del proceso educativo, según dentro de este nuevo paradigma para el proceso de enseñanza – aprendizaje se observa que: existe una fluidez de roles (en este modelo los alumnos pueden ser maestros de sus pares y los profesores se centran en ser guías de sus alumnos), tanto alumnos como profesores se transforman en evaluadores de información y también es fundamental el trabajo en equipo.</w:t>
      </w:r>
    </w:p>
    <w:p w:rsidR="00A8190B" w:rsidRPr="00A8190B" w:rsidRDefault="00A8190B" w:rsidP="00A8190B">
      <w:pPr>
        <w:spacing w:after="0" w:line="240" w:lineRule="auto"/>
        <w:ind w:left="720"/>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 xml:space="preserve">Isabel </w:t>
      </w:r>
      <w:proofErr w:type="spellStart"/>
      <w:r w:rsidRPr="00A8190B">
        <w:rPr>
          <w:rFonts w:ascii="Arial" w:eastAsia="Times New Roman" w:hAnsi="Arial" w:cs="Arial"/>
          <w:sz w:val="20"/>
          <w:szCs w:val="20"/>
          <w:lang w:val="es-AR" w:eastAsia="es-ES"/>
        </w:rPr>
        <w:t>Borrás</w:t>
      </w:r>
      <w:proofErr w:type="spellEnd"/>
      <w:r w:rsidRPr="00A8190B">
        <w:rPr>
          <w:rFonts w:ascii="Arial" w:eastAsia="Times New Roman" w:hAnsi="Arial" w:cs="Arial"/>
          <w:sz w:val="20"/>
          <w:szCs w:val="20"/>
          <w:lang w:val="es-AR" w:eastAsia="es-ES"/>
        </w:rPr>
        <w:t xml:space="preserve"> ha justificado el uso de Internet como herramienta de enseñanza con las teorías  de aprendizaje: constructivismo, teoría de la conversación, y teoría del conocimiento situado.</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lang w:val="es-AR" w:eastAsia="es-ES"/>
        </w:rPr>
        <w:t>1- Constructivismo:</w:t>
      </w:r>
      <w:r w:rsidRPr="00A8190B">
        <w:rPr>
          <w:rFonts w:ascii="Arial" w:eastAsia="Times New Roman" w:hAnsi="Arial" w:cs="Arial"/>
          <w:sz w:val="20"/>
          <w:szCs w:val="20"/>
          <w:lang w:val="es-AR" w:eastAsia="es-ES"/>
        </w:rPr>
        <w:t xml:space="preserve"> desde un punto de vista constructivista, los datos que percibimos con nuestros sentidos y los   esquemas cognitivos que utilizamos para explorar esos datos existen en nuestra mente. De acuerdo con </w:t>
      </w:r>
      <w:proofErr w:type="spellStart"/>
      <w:r w:rsidRPr="00A8190B">
        <w:rPr>
          <w:rFonts w:ascii="Arial" w:eastAsia="Times New Roman" w:hAnsi="Arial" w:cs="Arial"/>
          <w:sz w:val="20"/>
          <w:szCs w:val="20"/>
          <w:lang w:val="es-AR" w:eastAsia="es-ES"/>
        </w:rPr>
        <w:t>Kakn</w:t>
      </w:r>
      <w:proofErr w:type="spellEnd"/>
      <w:r w:rsidRPr="00A8190B">
        <w:rPr>
          <w:rFonts w:ascii="Arial" w:eastAsia="Times New Roman" w:hAnsi="Arial" w:cs="Arial"/>
          <w:sz w:val="20"/>
          <w:szCs w:val="20"/>
          <w:lang w:val="es-AR" w:eastAsia="es-ES"/>
        </w:rPr>
        <w:t xml:space="preserve"> y </w:t>
      </w:r>
      <w:proofErr w:type="spellStart"/>
      <w:proofErr w:type="gramStart"/>
      <w:r w:rsidRPr="00A8190B">
        <w:rPr>
          <w:rFonts w:ascii="Arial" w:eastAsia="Times New Roman" w:hAnsi="Arial" w:cs="Arial"/>
          <w:sz w:val="20"/>
          <w:szCs w:val="20"/>
          <w:lang w:val="es-AR" w:eastAsia="es-ES"/>
        </w:rPr>
        <w:t>Friedman</w:t>
      </w:r>
      <w:proofErr w:type="spellEnd"/>
      <w:r w:rsidRPr="00A8190B">
        <w:rPr>
          <w:rFonts w:ascii="Arial" w:eastAsia="Times New Roman" w:hAnsi="Arial" w:cs="Arial"/>
          <w:sz w:val="20"/>
          <w:szCs w:val="20"/>
          <w:lang w:val="es-AR" w:eastAsia="es-ES"/>
        </w:rPr>
        <w:t xml:space="preserve"> ,</w:t>
      </w:r>
      <w:proofErr w:type="gramEnd"/>
      <w:r w:rsidRPr="00A8190B">
        <w:rPr>
          <w:rFonts w:ascii="Arial" w:eastAsia="Times New Roman" w:hAnsi="Arial" w:cs="Arial"/>
          <w:sz w:val="20"/>
          <w:szCs w:val="20"/>
          <w:lang w:val="es-AR" w:eastAsia="es-ES"/>
        </w:rPr>
        <w:t xml:space="preserve"> el aprendizaje constructivista se caracteriza por los siguientes principios:</w:t>
      </w:r>
    </w:p>
    <w:p w:rsidR="00A8190B" w:rsidRPr="00A8190B" w:rsidRDefault="00A8190B" w:rsidP="00A8190B">
      <w:pPr>
        <w:spacing w:before="100" w:beforeAutospacing="1" w:after="100" w:afterAutospacing="1" w:line="240" w:lineRule="auto"/>
        <w:ind w:left="680" w:hanging="360"/>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lang w:val="es-AR" w:eastAsia="es-ES"/>
        </w:rPr>
        <w:t>a -</w:t>
      </w:r>
      <w:r w:rsidRPr="00A8190B">
        <w:rPr>
          <w:rFonts w:ascii="Times New Roman" w:eastAsia="Times New Roman" w:hAnsi="Times New Roman" w:cs="Times New Roman"/>
          <w:b/>
          <w:bCs/>
          <w:color w:val="990000"/>
          <w:sz w:val="14"/>
          <w:szCs w:val="14"/>
          <w:lang w:val="es-AR" w:eastAsia="es-ES"/>
        </w:rPr>
        <w:t> </w:t>
      </w:r>
      <w:r w:rsidRPr="00A8190B">
        <w:rPr>
          <w:rFonts w:ascii="Times New Roman" w:eastAsia="Times New Roman" w:hAnsi="Times New Roman" w:cs="Times New Roman"/>
          <w:color w:val="990000"/>
          <w:sz w:val="14"/>
          <w:szCs w:val="14"/>
          <w:lang w:val="es-AR" w:eastAsia="es-ES"/>
        </w:rPr>
        <w:t>  </w:t>
      </w:r>
      <w:r w:rsidRPr="00A8190B">
        <w:rPr>
          <w:rFonts w:ascii="Times New Roman" w:eastAsia="Times New Roman" w:hAnsi="Times New Roman" w:cs="Times New Roman"/>
          <w:sz w:val="14"/>
          <w:szCs w:val="14"/>
          <w:lang w:val="es-AR" w:eastAsia="es-ES"/>
        </w:rPr>
        <w:t>  </w:t>
      </w:r>
      <w:r w:rsidRPr="00A8190B">
        <w:rPr>
          <w:rFonts w:ascii="Arial" w:eastAsia="Times New Roman" w:hAnsi="Arial" w:cs="Arial"/>
          <w:sz w:val="20"/>
          <w:szCs w:val="20"/>
          <w:lang w:val="es-AR" w:eastAsia="es-ES"/>
        </w:rPr>
        <w:t>De la instrucción a la construcción. Aprender no significa transformar el conocimiento. Esta transformación, a su vez, ocurre a través del pensamiento activo y original del aprendiz. Así pues, la educación constructivista implica la experimentación y la resolución de problemas.</w:t>
      </w:r>
    </w:p>
    <w:p w:rsidR="00A8190B" w:rsidRPr="00A8190B" w:rsidRDefault="00A8190B" w:rsidP="00A8190B">
      <w:pPr>
        <w:spacing w:before="100" w:beforeAutospacing="1" w:after="100" w:afterAutospacing="1" w:line="240" w:lineRule="auto"/>
        <w:ind w:left="680" w:hanging="360"/>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lang w:val="es-AR" w:eastAsia="es-ES"/>
        </w:rPr>
        <w:lastRenderedPageBreak/>
        <w:t>b</w:t>
      </w:r>
      <w:r w:rsidRPr="00A8190B">
        <w:rPr>
          <w:rFonts w:ascii="Arial" w:eastAsia="Times New Roman" w:hAnsi="Arial" w:cs="Arial"/>
          <w:color w:val="990000"/>
          <w:sz w:val="20"/>
          <w:szCs w:val="20"/>
          <w:lang w:val="es-AR" w:eastAsia="es-ES"/>
        </w:rPr>
        <w:t xml:space="preserve"> -</w:t>
      </w:r>
      <w:r w:rsidRPr="00A8190B">
        <w:rPr>
          <w:rFonts w:ascii="Times New Roman" w:eastAsia="Times New Roman" w:hAnsi="Times New Roman" w:cs="Times New Roman"/>
          <w:color w:val="990000"/>
          <w:sz w:val="14"/>
          <w:szCs w:val="14"/>
          <w:lang w:val="es-AR" w:eastAsia="es-ES"/>
        </w:rPr>
        <w:t>   </w:t>
      </w:r>
      <w:r w:rsidRPr="00A8190B">
        <w:rPr>
          <w:rFonts w:ascii="Times New Roman" w:eastAsia="Times New Roman" w:hAnsi="Times New Roman" w:cs="Times New Roman"/>
          <w:sz w:val="14"/>
          <w:szCs w:val="14"/>
          <w:lang w:val="es-AR" w:eastAsia="es-ES"/>
        </w:rPr>
        <w:t xml:space="preserve"> </w:t>
      </w:r>
      <w:r w:rsidRPr="00A8190B">
        <w:rPr>
          <w:rFonts w:ascii="Arial" w:eastAsia="Times New Roman" w:hAnsi="Arial" w:cs="Arial"/>
          <w:sz w:val="20"/>
          <w:szCs w:val="20"/>
          <w:lang w:val="es-AR" w:eastAsia="es-ES"/>
        </w:rPr>
        <w:t>Del refuerzo al interés. Los estudiantes comprenden mejor cuando están envueltos en tareas y temas que cautivan su atención. Por lo tanto, desde una perspectiva constructivista, los profesores investigan lo que interesa a sus estudiantes.</w:t>
      </w:r>
    </w:p>
    <w:p w:rsidR="00A8190B" w:rsidRPr="00A8190B" w:rsidRDefault="00A8190B" w:rsidP="00A8190B">
      <w:pPr>
        <w:spacing w:before="100" w:beforeAutospacing="1" w:after="100" w:afterAutospacing="1" w:line="240" w:lineRule="auto"/>
        <w:ind w:left="680" w:hanging="360"/>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lang w:val="es-AR" w:eastAsia="es-ES"/>
        </w:rPr>
        <w:t>c</w:t>
      </w:r>
      <w:r w:rsidRPr="00A8190B">
        <w:rPr>
          <w:rFonts w:ascii="Arial" w:eastAsia="Times New Roman" w:hAnsi="Arial" w:cs="Arial"/>
          <w:color w:val="990000"/>
          <w:sz w:val="20"/>
          <w:szCs w:val="20"/>
          <w:lang w:val="es-AR" w:eastAsia="es-ES"/>
        </w:rPr>
        <w:t xml:space="preserve"> -</w:t>
      </w:r>
      <w:r w:rsidRPr="00A8190B">
        <w:rPr>
          <w:rFonts w:ascii="Times New Roman" w:eastAsia="Times New Roman" w:hAnsi="Times New Roman" w:cs="Times New Roman"/>
          <w:sz w:val="14"/>
          <w:szCs w:val="14"/>
          <w:lang w:val="es-AR" w:eastAsia="es-ES"/>
        </w:rPr>
        <w:t>     </w:t>
      </w:r>
      <w:r w:rsidRPr="00A8190B">
        <w:rPr>
          <w:rFonts w:ascii="Arial" w:eastAsia="Times New Roman" w:hAnsi="Arial" w:cs="Arial"/>
          <w:sz w:val="20"/>
          <w:szCs w:val="20"/>
          <w:lang w:val="es-AR" w:eastAsia="es-ES"/>
        </w:rPr>
        <w:t xml:space="preserve">De la obediencia a la autonomía. Dentro del marco constructivista, la autonomía se desarrolla a través de </w:t>
      </w:r>
      <w:proofErr w:type="gramStart"/>
      <w:r w:rsidRPr="00A8190B">
        <w:rPr>
          <w:rFonts w:ascii="Arial" w:eastAsia="Times New Roman" w:hAnsi="Arial" w:cs="Arial"/>
          <w:sz w:val="20"/>
          <w:szCs w:val="20"/>
          <w:lang w:val="es-AR" w:eastAsia="es-ES"/>
        </w:rPr>
        <w:t>la interacciones recíprocas</w:t>
      </w:r>
      <w:proofErr w:type="gramEnd"/>
      <w:r w:rsidRPr="00A8190B">
        <w:rPr>
          <w:rFonts w:ascii="Arial" w:eastAsia="Times New Roman" w:hAnsi="Arial" w:cs="Arial"/>
          <w:sz w:val="20"/>
          <w:szCs w:val="20"/>
          <w:lang w:val="es-AR" w:eastAsia="es-ES"/>
        </w:rPr>
        <w:t xml:space="preserve"> a nivel </w:t>
      </w:r>
      <w:proofErr w:type="spellStart"/>
      <w:r w:rsidRPr="00A8190B">
        <w:rPr>
          <w:rFonts w:ascii="Arial" w:eastAsia="Times New Roman" w:hAnsi="Arial" w:cs="Arial"/>
          <w:sz w:val="20"/>
          <w:szCs w:val="20"/>
          <w:lang w:val="es-AR" w:eastAsia="es-ES"/>
        </w:rPr>
        <w:t>microgenético</w:t>
      </w:r>
      <w:proofErr w:type="spellEnd"/>
      <w:r w:rsidRPr="00A8190B">
        <w:rPr>
          <w:rFonts w:ascii="Arial" w:eastAsia="Times New Roman" w:hAnsi="Arial" w:cs="Arial"/>
          <w:sz w:val="20"/>
          <w:szCs w:val="20"/>
          <w:lang w:val="es-AR" w:eastAsia="es-ES"/>
        </w:rPr>
        <w:t xml:space="preserve"> y se manifiesta por medio de la integración de consideraciones sobre uno mismo, los demás y la sociedad.</w:t>
      </w:r>
    </w:p>
    <w:p w:rsidR="00A8190B" w:rsidRPr="00A8190B" w:rsidRDefault="00A8190B" w:rsidP="00A8190B">
      <w:pPr>
        <w:spacing w:before="100" w:beforeAutospacing="1" w:after="100" w:afterAutospacing="1" w:line="240" w:lineRule="auto"/>
        <w:ind w:left="680" w:hanging="360"/>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lang w:val="es-AR" w:eastAsia="es-ES"/>
        </w:rPr>
        <w:t>d</w:t>
      </w:r>
      <w:r w:rsidRPr="00A8190B">
        <w:rPr>
          <w:rFonts w:ascii="Arial" w:eastAsia="Times New Roman" w:hAnsi="Arial" w:cs="Arial"/>
          <w:color w:val="990000"/>
          <w:sz w:val="20"/>
          <w:szCs w:val="20"/>
          <w:lang w:val="es-AR" w:eastAsia="es-ES"/>
        </w:rPr>
        <w:t xml:space="preserve"> -</w:t>
      </w:r>
      <w:r w:rsidRPr="00A8190B">
        <w:rPr>
          <w:rFonts w:ascii="Times New Roman" w:eastAsia="Times New Roman" w:hAnsi="Times New Roman" w:cs="Times New Roman"/>
          <w:color w:val="990000"/>
          <w:sz w:val="14"/>
          <w:szCs w:val="14"/>
          <w:lang w:val="es-AR" w:eastAsia="es-ES"/>
        </w:rPr>
        <w:t> </w:t>
      </w:r>
      <w:r w:rsidRPr="00A8190B">
        <w:rPr>
          <w:rFonts w:ascii="Times New Roman" w:eastAsia="Times New Roman" w:hAnsi="Times New Roman" w:cs="Times New Roman"/>
          <w:sz w:val="14"/>
          <w:szCs w:val="14"/>
          <w:lang w:val="es-AR" w:eastAsia="es-ES"/>
        </w:rPr>
        <w:t>   </w:t>
      </w:r>
      <w:r w:rsidRPr="00A8190B">
        <w:rPr>
          <w:rFonts w:ascii="Arial" w:eastAsia="Times New Roman" w:hAnsi="Arial" w:cs="Arial"/>
          <w:sz w:val="20"/>
          <w:szCs w:val="20"/>
          <w:lang w:val="es-AR" w:eastAsia="es-ES"/>
        </w:rPr>
        <w:t>De la coerción a la cooperación.  Internet presenta rasgos de un entorno de aprendizaje constructivo en cuanto que permite la puesta en juego de los principios de igualdad, justicia y democracia (</w:t>
      </w:r>
      <w:proofErr w:type="spellStart"/>
      <w:r w:rsidRPr="00A8190B">
        <w:rPr>
          <w:rFonts w:ascii="Arial" w:eastAsia="Times New Roman" w:hAnsi="Arial" w:cs="Arial"/>
          <w:sz w:val="20"/>
          <w:szCs w:val="20"/>
          <w:lang w:val="es-AR" w:eastAsia="es-ES"/>
        </w:rPr>
        <w:t>Piaget</w:t>
      </w:r>
      <w:proofErr w:type="spellEnd"/>
      <w:r w:rsidRPr="00A8190B">
        <w:rPr>
          <w:rFonts w:ascii="Arial" w:eastAsia="Times New Roman" w:hAnsi="Arial" w:cs="Arial"/>
          <w:sz w:val="20"/>
          <w:szCs w:val="20"/>
          <w:lang w:val="es-AR" w:eastAsia="es-ES"/>
        </w:rPr>
        <w:t>). Es un sistema abierto guiado por el interés.</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b/>
          <w:bCs/>
          <w:color w:val="990000"/>
          <w:sz w:val="20"/>
          <w:szCs w:val="20"/>
          <w:lang w:val="es-AR" w:eastAsia="es-ES"/>
        </w:rPr>
        <w:t>2- Teoría de la Conversación:</w:t>
      </w:r>
      <w:r w:rsidRPr="00A8190B">
        <w:rPr>
          <w:rFonts w:ascii="Arial" w:eastAsia="Times New Roman" w:hAnsi="Arial" w:cs="Arial"/>
          <w:sz w:val="20"/>
          <w:szCs w:val="20"/>
          <w:lang w:val="es-AR" w:eastAsia="es-ES"/>
        </w:rPr>
        <w:t xml:space="preserve"> la teoría sigue el punto de vista de </w:t>
      </w:r>
      <w:proofErr w:type="spellStart"/>
      <w:r w:rsidRPr="00A8190B">
        <w:rPr>
          <w:rFonts w:ascii="Arial" w:eastAsia="Times New Roman" w:hAnsi="Arial" w:cs="Arial"/>
          <w:sz w:val="20"/>
          <w:szCs w:val="20"/>
          <w:lang w:val="es-AR" w:eastAsia="es-ES"/>
        </w:rPr>
        <w:t>Vygotsky</w:t>
      </w:r>
      <w:proofErr w:type="spellEnd"/>
      <w:r w:rsidRPr="00A8190B">
        <w:rPr>
          <w:rFonts w:ascii="Arial" w:eastAsia="Times New Roman" w:hAnsi="Arial" w:cs="Arial"/>
          <w:sz w:val="20"/>
          <w:szCs w:val="20"/>
          <w:lang w:val="es-AR" w:eastAsia="es-ES"/>
        </w:rPr>
        <w:t xml:space="preserve"> (1978) sobre el hecho de que aprender es por naturaleza un fenómeno social; que la adquisición de nuevo conocimiento es el resultado de la interacción de gente que participa en un diálogo; y que aprender es un proceso dialéctico en el que un individuo contrasta su punto de vista personal con el de otro hasta llegar a un acuerdo. La Internet adhiere a la noción </w:t>
      </w:r>
      <w:proofErr w:type="spellStart"/>
      <w:r w:rsidRPr="00A8190B">
        <w:rPr>
          <w:rFonts w:ascii="Arial" w:eastAsia="Times New Roman" w:hAnsi="Arial" w:cs="Arial"/>
          <w:sz w:val="20"/>
          <w:szCs w:val="20"/>
          <w:lang w:val="es-AR" w:eastAsia="es-ES"/>
        </w:rPr>
        <w:t>vygotskiana</w:t>
      </w:r>
      <w:proofErr w:type="spellEnd"/>
      <w:r w:rsidRPr="00A8190B">
        <w:rPr>
          <w:rFonts w:ascii="Arial" w:eastAsia="Times New Roman" w:hAnsi="Arial" w:cs="Arial"/>
          <w:sz w:val="20"/>
          <w:szCs w:val="20"/>
          <w:lang w:val="es-AR" w:eastAsia="es-ES"/>
        </w:rPr>
        <w:t xml:space="preserve"> de interacción entre gente que trae diferentes niveles de experiencia a una cultura tecnológica. La Internet es un entorno que presupone una naturaleza social específica y un proceso a través del cual los aprendices crean una zona virtual de "desarrollo próximo".</w:t>
      </w:r>
      <w:r w:rsidRPr="00A8190B">
        <w:rPr>
          <w:rFonts w:ascii="Arial" w:eastAsia="Times New Roman" w:hAnsi="Arial" w:cs="Arial"/>
          <w:sz w:val="20"/>
          <w:szCs w:val="20"/>
          <w:lang w:val="es-AR" w:eastAsia="es-ES"/>
        </w:rPr>
        <w:br/>
      </w:r>
      <w:r w:rsidRPr="00A8190B">
        <w:rPr>
          <w:rFonts w:ascii="Arial" w:eastAsia="Times New Roman" w:hAnsi="Arial" w:cs="Arial"/>
          <w:sz w:val="20"/>
          <w:szCs w:val="20"/>
          <w:lang w:val="es-AR" w:eastAsia="es-ES"/>
        </w:rPr>
        <w:br/>
      </w:r>
      <w:r w:rsidRPr="00A8190B">
        <w:rPr>
          <w:rFonts w:ascii="Arial" w:eastAsia="Times New Roman" w:hAnsi="Arial" w:cs="Arial"/>
          <w:b/>
          <w:bCs/>
          <w:color w:val="990000"/>
          <w:sz w:val="20"/>
          <w:szCs w:val="20"/>
          <w:lang w:val="es-AR" w:eastAsia="es-ES"/>
        </w:rPr>
        <w:t>3- Teoría del Conocimiento Situado:</w:t>
      </w:r>
      <w:r w:rsidRPr="00A8190B">
        <w:rPr>
          <w:rFonts w:ascii="Arial" w:eastAsia="Times New Roman" w:hAnsi="Arial" w:cs="Arial"/>
          <w:sz w:val="20"/>
          <w:szCs w:val="20"/>
          <w:lang w:val="es-AR" w:eastAsia="es-ES"/>
        </w:rPr>
        <w:t xml:space="preserve"> de acuerdo con esta teoría, el conocimiento es una relación activa entre un agente y el entorno, y el aprendizaje ocurre cuando el aprendiz está activamente envuelto en un contexto </w:t>
      </w:r>
      <w:proofErr w:type="spellStart"/>
      <w:r w:rsidRPr="00A8190B">
        <w:rPr>
          <w:rFonts w:ascii="Arial" w:eastAsia="Times New Roman" w:hAnsi="Arial" w:cs="Arial"/>
          <w:sz w:val="20"/>
          <w:szCs w:val="20"/>
          <w:lang w:val="es-AR" w:eastAsia="es-ES"/>
        </w:rPr>
        <w:t>instruccional</w:t>
      </w:r>
      <w:proofErr w:type="spellEnd"/>
      <w:r w:rsidRPr="00A8190B">
        <w:rPr>
          <w:rFonts w:ascii="Arial" w:eastAsia="Times New Roman" w:hAnsi="Arial" w:cs="Arial"/>
          <w:sz w:val="20"/>
          <w:szCs w:val="20"/>
          <w:lang w:val="es-AR" w:eastAsia="es-ES"/>
        </w:rPr>
        <w:t xml:space="preserve"> complejo y realístico. El entorno Internet responde a las premisas del conocimiento situado en dos de sus características: realismo y complejidad. Por un lado, la Internet posibilita intercambios auténticos entre usuarios provenientes de contextos culturales diferentes pero con intereses similares.</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Times New Roman" w:eastAsia="Times New Roman" w:hAnsi="Times New Roman" w:cs="Times New Roman"/>
          <w:sz w:val="24"/>
          <w:szCs w:val="24"/>
          <w:lang w:eastAsia="es-ES"/>
        </w:rPr>
        <w:t> </w:t>
      </w:r>
    </w:p>
    <w:p w:rsidR="00A8190B" w:rsidRPr="00A8190B" w:rsidRDefault="00A8190B" w:rsidP="00A8190B">
      <w:pPr>
        <w:spacing w:after="0"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 xml:space="preserve">El uso adecuado de la aplicación de Internet en los procesos de enseñanza  y aprendizaje implica ventajas y desventajas. Entre las ventajas destacamos algunas como la posibilidad de comunicación (sincrónica o asincrónica) con todo tipo de personas: compañeros, profesores, expertos, etc.; es un entorno propicio para un aprendizaje y trabajo cooperativo en la realización de proyectos y en la resolución de problemas; es un punto de encuentro entre profesores y estudiantes de todo el mundo; posibilita la reflexión conjunta de la docencia  en temas educativos; es un acceso fácil y económico a un inmenso caudal de información multimedia de todo tipo; permite el desarrollo de habilidades de búsqueda, selección y organización de la información; incentiva la construcción compartida del conocimiento; permite un acercamiento interdisciplinar e intercultural a los temas y también proporciona una doble interactividad: con los materiales del medio y con las personas. Entre los riesgos más serios y complejos: el educador no siempre podrá controlar la información a la que accede el discente y, además, es tal la cantidad de ésta que se hace necesario establecer con rigor criterios y pautas de trabajo didáctico. Esto nos llevaría a plantearnos rápidamente la siguiente pregunta: </w:t>
      </w:r>
      <w:r w:rsidRPr="00A8190B">
        <w:rPr>
          <w:rFonts w:ascii="Arial" w:eastAsia="Times New Roman" w:hAnsi="Arial" w:cs="Arial"/>
          <w:i/>
          <w:iCs/>
          <w:color w:val="990000"/>
          <w:sz w:val="20"/>
          <w:szCs w:val="20"/>
          <w:lang w:val="es-AR" w:eastAsia="es-ES"/>
        </w:rPr>
        <w:t>¿es posible subsanar estos defectos para potenciar, precisamente, las ventajas</w:t>
      </w:r>
      <w:proofErr w:type="gramStart"/>
      <w:r w:rsidRPr="00A8190B">
        <w:rPr>
          <w:rFonts w:ascii="Arial" w:eastAsia="Times New Roman" w:hAnsi="Arial" w:cs="Arial"/>
          <w:i/>
          <w:iCs/>
          <w:color w:val="990000"/>
          <w:sz w:val="20"/>
          <w:szCs w:val="20"/>
          <w:lang w:val="es-AR" w:eastAsia="es-ES"/>
        </w:rPr>
        <w:t>?.</w:t>
      </w:r>
      <w:proofErr w:type="gramEnd"/>
    </w:p>
    <w:p w:rsidR="00A8190B" w:rsidRPr="00A8190B" w:rsidRDefault="00A8190B" w:rsidP="00A8190B">
      <w:pPr>
        <w:spacing w:before="100" w:beforeAutospacing="1" w:after="100" w:afterAutospacing="1"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Internet puede ser una formidable herramienta didáctica, pero intrínsecamente no lo es. Las manos que controlan y mueven los hilos no son educativas. Y al igual que podemos acceder a contenidos de gran calidad pedagógica, por supuesto, son más los que pueden resultar seriamente perjudiciales para niños y jóvenes. Para su correcto empleo en el aula es imprescindible una sólida formación del docente, y situar la acción educativa en el marco de una programación didáctica precisa y eficaz.</w:t>
      </w:r>
    </w:p>
    <w:p w:rsidR="00A8190B" w:rsidRPr="00A8190B" w:rsidRDefault="00A8190B" w:rsidP="00A8190B">
      <w:pPr>
        <w:spacing w:before="100" w:beforeAutospacing="1" w:after="100" w:afterAutospacing="1" w:line="240" w:lineRule="auto"/>
        <w:rPr>
          <w:rFonts w:ascii="Times New Roman" w:eastAsia="Times New Roman" w:hAnsi="Times New Roman" w:cs="Times New Roman"/>
          <w:sz w:val="24"/>
          <w:szCs w:val="24"/>
          <w:lang w:eastAsia="es-ES"/>
        </w:rPr>
      </w:pPr>
      <w:r w:rsidRPr="00A8190B">
        <w:rPr>
          <w:rFonts w:ascii="Arial" w:eastAsia="Times New Roman" w:hAnsi="Arial" w:cs="Arial"/>
          <w:sz w:val="20"/>
          <w:szCs w:val="20"/>
          <w:lang w:val="es-AR" w:eastAsia="es-ES"/>
        </w:rPr>
        <w:t>Casi sin darnos cuenta, profesores y gestores educativos, nos encontraremos ante nuevas situaciones que nos exigirán tanto el uso de Internet como instrumento didáctico y como herramienta indispensable de trabajo, como la revisión de los contenidos de los planes de estudios. Será una consecuencia de la dinámica de los tiempos actuales y de la generalización del éxito obtenido en la aplicación de la red en los dinámicos entornos empresariales.</w:t>
      </w:r>
    </w:p>
    <w:p w:rsidR="006016BB" w:rsidRDefault="006016BB"/>
    <w:sectPr w:rsidR="006016BB" w:rsidSect="006016B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hyphenationZone w:val="425"/>
  <w:characterSpacingControl w:val="doNotCompress"/>
  <w:compat/>
  <w:rsids>
    <w:rsidRoot w:val="00A8190B"/>
    <w:rsid w:val="006016BB"/>
    <w:rsid w:val="00A81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190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819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1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79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5745</Characters>
  <Application>Microsoft Office Word</Application>
  <DocSecurity>0</DocSecurity>
  <Lines>47</Lines>
  <Paragraphs>13</Paragraphs>
  <ScaleCrop>false</ScaleCrop>
  <Company>Toshiba</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2010-11-09T05:45:00Z</dcterms:created>
  <dcterms:modified xsi:type="dcterms:W3CDTF">2010-11-09T05:46:00Z</dcterms:modified>
</cp:coreProperties>
</file>