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Lienzo" type="tile"/>
    </v:background>
  </w:background>
  <w:body>
    <w:p w:rsidR="00A94BE2" w:rsidRDefault="00D402CC" w:rsidP="00D402CC">
      <w:pPr>
        <w:jc w:val="center"/>
      </w:pPr>
      <w:r>
        <w:t>APRENDIZAJE BASADO EN EL SERVICIO A  LA COMUNIDAD</w:t>
      </w:r>
    </w:p>
    <w:p w:rsidR="00D402CC" w:rsidRDefault="0011248D" w:rsidP="00D402CC">
      <w:pPr>
        <w:jc w:val="both"/>
        <w:rPr>
          <w:noProof/>
          <w:lang w:eastAsia="es-MX"/>
        </w:rPr>
      </w:pPr>
      <w:r>
        <w:rPr>
          <w:noProof/>
          <w:lang w:eastAsia="es-MX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165.55pt;margin-top:54.45pt;width:78.75pt;height:36.75pt;z-index:251658240">
            <v:textbox style="mso-next-textbox:#_x0000_s1027">
              <w:txbxContent>
                <w:p w:rsidR="00524B5B" w:rsidRPr="0011248D" w:rsidRDefault="0011248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Aprender sirviendo</w:t>
                  </w:r>
                </w:p>
              </w:txbxContent>
            </v:textbox>
          </v:shape>
        </w:pict>
      </w:r>
      <w:r w:rsidR="00D402CC">
        <w:t>Se define como un enfoque pedagógico en el que los estudiantes, aprenden y se desarrollan por medio de su participación activa en experiencias de servicio organizadas con cuidado y directamente vinculadas a las necesidades de una comunidad.</w:t>
      </w:r>
    </w:p>
    <w:p w:rsidR="00836197" w:rsidRDefault="00652044" w:rsidP="00D402CC">
      <w:pPr>
        <w:jc w:val="both"/>
      </w:pPr>
      <w:r>
        <w:rPr>
          <w:noProof/>
          <w:lang w:eastAsia="es-MX"/>
        </w:rPr>
        <w:pict>
          <v:shape id="_x0000_s1028" type="#_x0000_t176" style="position:absolute;left:0;text-align:left;margin-left:151.2pt;margin-top:66.4pt;width:109.8pt;height:57pt;z-index:251659264">
            <v:textbox style="mso-next-textbox:#_x0000_s1028">
              <w:txbxContent>
                <w:p w:rsidR="0011248D" w:rsidRPr="0011248D" w:rsidRDefault="0011248D">
                  <w:pPr>
                    <w:rPr>
                      <w:sz w:val="20"/>
                      <w:szCs w:val="20"/>
                    </w:rPr>
                  </w:pPr>
                  <w:r>
                    <w:t>Enfoque educativ</w:t>
                  </w:r>
                  <w:r w:rsidR="00652044">
                    <w:t xml:space="preserve">a </w:t>
                  </w:r>
                  <w:proofErr w:type="spellStart"/>
                  <w:r>
                    <w:t>experencial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es-MX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3" type="#_x0000_t67" style="position:absolute;left:0;text-align:left;margin-left:128.2pt;margin-top:222.05pt;width:17.1pt;height:75.5pt;rotation:3653230fd;z-index:-251631616">
            <v:textbox style="layout-flow:vertical-ideographic"/>
          </v:shape>
        </w:pict>
      </w:r>
      <w:r>
        <w:rPr>
          <w:noProof/>
          <w:lang w:eastAsia="es-MX"/>
        </w:rPr>
        <w:pict>
          <v:shape id="_x0000_s1043" type="#_x0000_t67" style="position:absolute;left:0;text-align:left;margin-left:201.7pt;margin-top:125.45pt;width:24pt;height:80.8pt;z-index:251674624">
            <v:textbox style="layout-flow:vertical-ideographic"/>
          </v:shape>
        </w:pict>
      </w:r>
      <w:r>
        <w:rPr>
          <w:noProof/>
          <w:lang w:eastAsia="es-MX"/>
        </w:rPr>
        <w:pict>
          <v:shape id="_x0000_s1029" type="#_x0000_t176" style="position:absolute;left:0;text-align:left;margin-left:162pt;margin-top:210.15pt;width:112.75pt;height:32.25pt;z-index:251660288">
            <v:textbox style="mso-next-textbox:#_x0000_s1029">
              <w:txbxContent>
                <w:p w:rsidR="0011248D" w:rsidRDefault="0011248D">
                  <w:r>
                    <w:t>Componentes clave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50" type="#_x0000_t67" style="position:absolute;left:0;text-align:left;margin-left:287.8pt;margin-top:179.15pt;width:19.8pt;height:106.7pt;rotation:-29140836fd;z-index:-251634688">
            <v:textbox style="layout-flow:vertical-ideographic"/>
          </v:shape>
        </w:pict>
      </w:r>
      <w:r>
        <w:rPr>
          <w:noProof/>
          <w:lang w:eastAsia="es-MX"/>
        </w:rPr>
        <w:pict>
          <v:shape id="_x0000_s1051" type="#_x0000_t67" style="position:absolute;left:0;text-align:left;margin-left:287.3pt;margin-top:208.25pt;width:17.1pt;height:103.05pt;rotation:-27634672fd;z-index:-251633664">
            <v:textbox style="layout-flow:vertical-ideographic"/>
          </v:shape>
        </w:pict>
      </w:r>
      <w:r>
        <w:rPr>
          <w:noProof/>
          <w:lang w:eastAsia="es-MX"/>
        </w:rPr>
        <w:pict>
          <v:shape id="_x0000_s1046" type="#_x0000_t67" style="position:absolute;left:0;text-align:left;margin-left:225.7pt;margin-top:236.65pt;width:23pt;height:131.6pt;z-index:-251638784">
            <v:textbox style="layout-flow:vertical-ideographic"/>
          </v:shape>
        </w:pict>
      </w:r>
      <w:r>
        <w:rPr>
          <w:noProof/>
          <w:lang w:eastAsia="es-MX"/>
        </w:rPr>
        <w:pict>
          <v:shape id="_x0000_s1052" type="#_x0000_t67" style="position:absolute;left:0;text-align:left;margin-left:265.3pt;margin-top:215.25pt;width:21pt;height:114.25pt;rotation:-2598484fd;z-index:-251632640">
            <v:textbox style="layout-flow:vertical-ideographic"/>
          </v:shape>
        </w:pict>
      </w:r>
      <w:r>
        <w:rPr>
          <w:noProof/>
          <w:lang w:eastAsia="es-MX"/>
        </w:rPr>
        <w:pict>
          <v:shape id="_x0000_s1037" type="#_x0000_t176" style="position:absolute;left:0;text-align:left;margin-left:351pt;margin-top:215.25pt;width:90.75pt;height:40.5pt;z-index:251668480">
            <v:textbox style="mso-next-textbox:#_x0000_s1037">
              <w:txbxContent>
                <w:p w:rsidR="0011248D" w:rsidRDefault="0011248D">
                  <w:r>
                    <w:t>Experiencia auténtica in situ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8" type="#_x0000_t176" style="position:absolute;left:0;text-align:left;margin-left:342pt;margin-top:276.6pt;width:91.5pt;height:41.25pt;z-index:251669504">
            <v:textbox style="mso-next-textbox:#_x0000_s1038">
              <w:txbxContent>
                <w:p w:rsidR="0011248D" w:rsidRDefault="0011248D">
                  <w:r>
                    <w:t>Responsabilidad social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1" type="#_x0000_t176" style="position:absolute;left:0;text-align:left;margin-left:282.45pt;margin-top:327.75pt;width:113.25pt;height:41.25pt;z-index:251662336">
            <v:textbox style="mso-next-textbox:#_x0000_s1031">
              <w:txbxContent>
                <w:p w:rsidR="0011248D" w:rsidRDefault="0011248D">
                  <w:r>
                    <w:t>Voz y participación activa del alumno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9" type="#_x0000_t67" style="position:absolute;left:0;text-align:left;margin-left:201.7pt;margin-top:34.9pt;width:12pt;height:31.5pt;z-index:251670528">
            <v:textbox style="layout-flow:vertical-ideographic"/>
          </v:shape>
        </w:pict>
      </w:r>
      <w:r w:rsidR="0011248D">
        <w:rPr>
          <w:noProof/>
          <w:lang w:eastAsia="es-MX"/>
        </w:rPr>
        <w:pict>
          <v:shape id="_x0000_s1030" type="#_x0000_t176" style="position:absolute;left:0;text-align:left;margin-left:191.7pt;margin-top:368.25pt;width:90.75pt;height:44.25pt;z-index:251661312">
            <v:textbox style="mso-next-textbox:#_x0000_s1030">
              <w:txbxContent>
                <w:p w:rsidR="0011248D" w:rsidRDefault="0011248D">
                  <w:r>
                    <w:t>Autogestión comunitaria</w:t>
                  </w:r>
                </w:p>
              </w:txbxContent>
            </v:textbox>
          </v:shape>
        </w:pict>
      </w:r>
      <w:r w:rsidR="0011248D">
        <w:rPr>
          <w:noProof/>
          <w:lang w:eastAsia="es-MX"/>
        </w:rPr>
        <w:pict>
          <v:shape id="_x0000_s1040" type="#_x0000_t67" style="position:absolute;left:0;text-align:left;margin-left:115.4pt;margin-top:62.1pt;width:10.1pt;height:63pt;rotation:4800987fd;z-index:251671552">
            <v:textbox style="layout-flow:vertical-ideographic"/>
          </v:shape>
        </w:pict>
      </w:r>
      <w:r w:rsidR="0011248D">
        <w:rPr>
          <w:noProof/>
          <w:lang w:eastAsia="es-MX"/>
        </w:rPr>
        <w:pict>
          <v:shape id="_x0000_s1041" type="#_x0000_t67" style="position:absolute;left:0;text-align:left;margin-left:45pt;margin-top:139.15pt;width:13.5pt;height:25.1pt;z-index:251672576">
            <v:textbox style="layout-flow:vertical-ideographic"/>
          </v:shape>
        </w:pict>
      </w:r>
      <w:r w:rsidR="0011248D">
        <w:rPr>
          <w:noProof/>
          <w:lang w:eastAsia="es-MX"/>
        </w:rPr>
        <w:pict>
          <v:shape id="_x0000_s1033" type="#_x0000_t176" style="position:absolute;left:0;text-align:left;margin-left:6.65pt;margin-top:98.65pt;width:82.3pt;height:40.5pt;z-index:251664384">
            <v:textbox style="mso-next-textbox:#_x0000_s1033">
              <w:txbxContent>
                <w:p w:rsidR="0011248D" w:rsidRDefault="0011248D">
                  <w:r>
                    <w:t>Currículo académico</w:t>
                  </w:r>
                </w:p>
              </w:txbxContent>
            </v:textbox>
          </v:shape>
        </w:pict>
      </w:r>
      <w:r w:rsidR="0011248D">
        <w:rPr>
          <w:noProof/>
          <w:lang w:eastAsia="es-MX"/>
        </w:rPr>
        <w:pict>
          <v:shape id="_x0000_s1034" type="#_x0000_t176" style="position:absolute;left:0;text-align:left;margin-left:1.4pt;margin-top:164.25pt;width:105.55pt;height:65.1pt;z-index:251665408">
            <v:textbox style="mso-next-textbox:#_x0000_s1034">
              <w:txbxContent>
                <w:p w:rsidR="0011248D" w:rsidRDefault="0011248D">
                  <w:r>
                    <w:t>Proyectos de</w:t>
                  </w:r>
                </w:p>
                <w:p w:rsidR="0011248D" w:rsidRDefault="0011248D">
                  <w:r>
                    <w:t xml:space="preserve">Servicio comunitario </w:t>
                  </w:r>
                </w:p>
              </w:txbxContent>
            </v:textbox>
          </v:shape>
        </w:pict>
      </w:r>
      <w:r w:rsidR="0011248D">
        <w:rPr>
          <w:noProof/>
          <w:lang w:eastAsia="es-MX"/>
        </w:rPr>
        <w:pict>
          <v:shape id="_x0000_s1042" type="#_x0000_t67" style="position:absolute;left:0;text-align:left;margin-left:46.95pt;margin-top:229.35pt;width:18.75pt;height:47.25pt;z-index:251673600" adj="16208">
            <v:textbox style="layout-flow:vertical-ideographic"/>
          </v:shape>
        </w:pict>
      </w:r>
      <w:r w:rsidR="0011248D">
        <w:rPr>
          <w:noProof/>
          <w:lang w:eastAsia="es-MX"/>
        </w:rPr>
        <w:pict>
          <v:shape id="_x0000_s1035" type="#_x0000_t176" style="position:absolute;left:0;text-align:left;margin-left:16.2pt;margin-top:276.6pt;width:90.75pt;height:60.55pt;z-index:251666432">
            <v:textbox style="mso-next-textbox:#_x0000_s1035">
              <w:txbxContent>
                <w:p w:rsidR="0011248D" w:rsidRDefault="0011248D">
                  <w:proofErr w:type="spellStart"/>
                  <w:r>
                    <w:t>Facultamiento</w:t>
                  </w:r>
                  <w:proofErr w:type="spellEnd"/>
                  <w:r>
                    <w:t xml:space="preserve"> de los actores</w:t>
                  </w:r>
                </w:p>
              </w:txbxContent>
            </v:textbox>
          </v:shape>
        </w:pict>
      </w:r>
      <w:r w:rsidR="0011248D">
        <w:rPr>
          <w:noProof/>
          <w:lang w:eastAsia="es-MX"/>
        </w:rPr>
        <w:pict>
          <v:shape id="_x0000_s1045" type="#_x0000_t67" style="position:absolute;left:0;text-align:left;margin-left:50.7pt;margin-top:336.75pt;width:15pt;height:40.5pt;z-index:251676672">
            <v:textbox style="layout-flow:vertical-ideographic"/>
          </v:shape>
        </w:pict>
      </w:r>
      <w:r w:rsidR="0011248D">
        <w:rPr>
          <w:noProof/>
          <w:lang w:eastAsia="es-MX"/>
        </w:rPr>
        <w:pict>
          <v:shape id="_x0000_s1032" type="#_x0000_t176" style="position:absolute;left:0;text-align:left;margin-left:13.2pt;margin-top:377.25pt;width:93.75pt;height:49.5pt;z-index:251663360">
            <v:textbox style="mso-next-textbox:#_x0000_s1032">
              <w:txbxContent>
                <w:p w:rsidR="0011248D" w:rsidRDefault="0011248D">
                  <w:r>
                    <w:t>Reconstrucción</w:t>
                  </w:r>
                </w:p>
                <w:p w:rsidR="0011248D" w:rsidRDefault="0011248D">
                  <w:proofErr w:type="gramStart"/>
                  <w:r>
                    <w:t>social</w:t>
                  </w:r>
                  <w:proofErr w:type="gramEnd"/>
                </w:p>
              </w:txbxContent>
            </v:textbox>
          </v:shape>
        </w:pict>
      </w:r>
    </w:p>
    <w:sectPr w:rsidR="00836197" w:rsidSect="00A94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402CC"/>
    <w:rsid w:val="00063CD7"/>
    <w:rsid w:val="0011248D"/>
    <w:rsid w:val="00416969"/>
    <w:rsid w:val="004C6BCC"/>
    <w:rsid w:val="00524B5B"/>
    <w:rsid w:val="00652044"/>
    <w:rsid w:val="00785E4F"/>
    <w:rsid w:val="00836197"/>
    <w:rsid w:val="00A94BE2"/>
    <w:rsid w:val="00B216A2"/>
    <w:rsid w:val="00D4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DEE99-079E-4CED-AEC6-70E1D579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</cp:revision>
  <dcterms:created xsi:type="dcterms:W3CDTF">2010-10-14T01:06:00Z</dcterms:created>
  <dcterms:modified xsi:type="dcterms:W3CDTF">2010-10-14T01:56:00Z</dcterms:modified>
</cp:coreProperties>
</file>