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1200292414458558826"/>
    <w:bookmarkEnd w:id="0"/>
    <w:p w:rsidR="00A82491" w:rsidRPr="00A82491" w:rsidRDefault="00A82491" w:rsidP="00A82491">
      <w:pPr>
        <w:spacing w:before="100" w:beforeAutospacing="1" w:after="100" w:afterAutospacing="1" w:line="240" w:lineRule="auto"/>
        <w:jc w:val="center"/>
        <w:outlineLvl w:val="2"/>
        <w:rPr>
          <w:rFonts w:ascii="Times New Roman" w:eastAsia="Times New Roman" w:hAnsi="Times New Roman" w:cs="Times New Roman"/>
          <w:b/>
          <w:bCs/>
          <w:color w:val="943634" w:themeColor="accent2" w:themeShade="BF"/>
          <w:sz w:val="32"/>
          <w:szCs w:val="27"/>
          <w:u w:val="single"/>
          <w:lang w:eastAsia="es-CL"/>
        </w:rPr>
      </w:pPr>
      <w:r w:rsidRPr="00A82491">
        <w:rPr>
          <w:rFonts w:ascii="Times New Roman" w:eastAsia="Times New Roman" w:hAnsi="Times New Roman" w:cs="Times New Roman"/>
          <w:b/>
          <w:bCs/>
          <w:color w:val="943634" w:themeColor="accent2" w:themeShade="BF"/>
          <w:sz w:val="32"/>
          <w:szCs w:val="27"/>
          <w:u w:val="single"/>
          <w:lang w:eastAsia="es-CL"/>
        </w:rPr>
        <w:fldChar w:fldCharType="begin"/>
      </w:r>
      <w:r w:rsidRPr="00A82491">
        <w:rPr>
          <w:rFonts w:ascii="Times New Roman" w:eastAsia="Times New Roman" w:hAnsi="Times New Roman" w:cs="Times New Roman"/>
          <w:b/>
          <w:bCs/>
          <w:color w:val="943634" w:themeColor="accent2" w:themeShade="BF"/>
          <w:sz w:val="32"/>
          <w:szCs w:val="27"/>
          <w:u w:val="single"/>
          <w:lang w:eastAsia="es-CL"/>
        </w:rPr>
        <w:instrText xml:space="preserve"> HYPERLINK "http://serypersona.blogspot.com/2008/03/opcin-preferencial-por-los-pobres.html" </w:instrText>
      </w:r>
      <w:r w:rsidRPr="00A82491">
        <w:rPr>
          <w:rFonts w:ascii="Times New Roman" w:eastAsia="Times New Roman" w:hAnsi="Times New Roman" w:cs="Times New Roman"/>
          <w:b/>
          <w:bCs/>
          <w:color w:val="943634" w:themeColor="accent2" w:themeShade="BF"/>
          <w:sz w:val="32"/>
          <w:szCs w:val="27"/>
          <w:u w:val="single"/>
          <w:lang w:eastAsia="es-CL"/>
        </w:rPr>
        <w:fldChar w:fldCharType="separate"/>
      </w:r>
      <w:r w:rsidRPr="00A82491">
        <w:rPr>
          <w:rFonts w:ascii="Times New Roman" w:eastAsia="Times New Roman" w:hAnsi="Times New Roman" w:cs="Times New Roman"/>
          <w:b/>
          <w:bCs/>
          <w:color w:val="943634" w:themeColor="accent2" w:themeShade="BF"/>
          <w:sz w:val="32"/>
          <w:szCs w:val="27"/>
          <w:u w:val="single"/>
          <w:lang w:eastAsia="es-CL"/>
        </w:rPr>
        <w:t>Opción preferencial por los pobres</w:t>
      </w:r>
      <w:r w:rsidRPr="00A82491">
        <w:rPr>
          <w:rFonts w:ascii="Times New Roman" w:eastAsia="Times New Roman" w:hAnsi="Times New Roman" w:cs="Times New Roman"/>
          <w:b/>
          <w:bCs/>
          <w:color w:val="943634" w:themeColor="accent2" w:themeShade="BF"/>
          <w:sz w:val="32"/>
          <w:szCs w:val="27"/>
          <w:u w:val="single"/>
          <w:lang w:eastAsia="es-CL"/>
        </w:rPr>
        <w:fldChar w:fldCharType="end"/>
      </w:r>
    </w:p>
    <w:p w:rsidR="00A82491" w:rsidRPr="00A82491" w:rsidRDefault="00A82491" w:rsidP="00A82491">
      <w:pPr>
        <w:spacing w:after="0" w:line="240" w:lineRule="auto"/>
        <w:jc w:val="center"/>
        <w:rPr>
          <w:rFonts w:ascii="Times New Roman" w:eastAsia="Times New Roman" w:hAnsi="Times New Roman" w:cs="Times New Roman"/>
          <w:sz w:val="24"/>
          <w:szCs w:val="24"/>
          <w:lang w:eastAsia="es-CL"/>
        </w:rPr>
      </w:pPr>
      <w:r>
        <w:rPr>
          <w:rFonts w:ascii="Times New Roman" w:eastAsia="Times New Roman" w:hAnsi="Times New Roman" w:cs="Times New Roman"/>
          <w:noProof/>
          <w:color w:val="0000FF"/>
          <w:sz w:val="24"/>
          <w:szCs w:val="24"/>
          <w:lang w:eastAsia="es-CL"/>
        </w:rPr>
        <w:drawing>
          <wp:inline distT="0" distB="0" distL="0" distR="0">
            <wp:extent cx="3810000" cy="2495550"/>
            <wp:effectExtent l="19050" t="0" r="0" b="0"/>
            <wp:docPr id="1" name="BLOGGER_PHOTO_ID_5175728541734563778" descr="http://bp0.blogger.com/_CDun2FYANHw/R9Phr7_wb8I/AAAAAAAABpw/ZNWIX5ACp50/s400/Pdvd_016.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175728541734563778" descr="http://bp0.blogger.com/_CDun2FYANHw/R9Phr7_wb8I/AAAAAAAABpw/ZNWIX5ACp50/s400/Pdvd_016.jpg">
                      <a:hlinkClick r:id="rId4"/>
                    </pic:cNvPr>
                    <pic:cNvPicPr>
                      <a:picLocks noChangeAspect="1" noChangeArrowheads="1"/>
                    </pic:cNvPicPr>
                  </pic:nvPicPr>
                  <pic:blipFill>
                    <a:blip r:embed="rId5" cstate="print"/>
                    <a:srcRect/>
                    <a:stretch>
                      <a:fillRect/>
                    </a:stretch>
                  </pic:blipFill>
                  <pic:spPr bwMode="auto">
                    <a:xfrm>
                      <a:off x="0" y="0"/>
                      <a:ext cx="3810000" cy="2495550"/>
                    </a:xfrm>
                    <a:prstGeom prst="rect">
                      <a:avLst/>
                    </a:prstGeom>
                    <a:noFill/>
                    <a:ln w="9525">
                      <a:noFill/>
                      <a:miter lim="800000"/>
                      <a:headEnd/>
                      <a:tailEnd/>
                    </a:ln>
                  </pic:spPr>
                </pic:pic>
              </a:graphicData>
            </a:graphic>
          </wp:inline>
        </w:drawing>
      </w:r>
      <w:r w:rsidRPr="00A82491">
        <w:rPr>
          <w:rFonts w:ascii="Times New Roman" w:eastAsia="Times New Roman" w:hAnsi="Times New Roman" w:cs="Times New Roman"/>
          <w:sz w:val="24"/>
          <w:szCs w:val="24"/>
          <w:lang w:eastAsia="es-CL"/>
        </w:rPr>
        <w:br/>
      </w:r>
      <w:r w:rsidRPr="00A82491">
        <w:rPr>
          <w:rFonts w:ascii="Times New Roman" w:eastAsia="Times New Roman" w:hAnsi="Times New Roman" w:cs="Times New Roman"/>
          <w:sz w:val="24"/>
          <w:szCs w:val="24"/>
          <w:lang w:eastAsia="es-CL"/>
        </w:rPr>
        <w:br/>
      </w:r>
      <w:r w:rsidRPr="00A82491">
        <w:rPr>
          <w:rFonts w:ascii="Times New Roman" w:eastAsia="Times New Roman" w:hAnsi="Times New Roman" w:cs="Times New Roman"/>
          <w:i/>
          <w:iCs/>
          <w:sz w:val="24"/>
          <w:szCs w:val="24"/>
          <w:lang w:eastAsia="es-CL"/>
        </w:rPr>
        <w:t xml:space="preserve">Copio tres párrafos del </w:t>
      </w:r>
      <w:r w:rsidRPr="00A82491">
        <w:rPr>
          <w:rFonts w:ascii="Times New Roman" w:eastAsia="Times New Roman" w:hAnsi="Times New Roman" w:cs="Times New Roman"/>
          <w:b/>
          <w:bCs/>
          <w:i/>
          <w:iCs/>
          <w:sz w:val="24"/>
          <w:szCs w:val="24"/>
          <w:lang w:eastAsia="es-CL"/>
        </w:rPr>
        <w:t>“Compendio de la Doctrina Social de la Iglesia”</w:t>
      </w:r>
      <w:r w:rsidRPr="00A82491">
        <w:rPr>
          <w:rFonts w:ascii="Times New Roman" w:eastAsia="Times New Roman" w:hAnsi="Times New Roman" w:cs="Times New Roman"/>
          <w:i/>
          <w:iCs/>
          <w:sz w:val="24"/>
          <w:szCs w:val="24"/>
          <w:lang w:eastAsia="es-CL"/>
        </w:rPr>
        <w:t xml:space="preserve"> que clarifican bastante este concepto:</w:t>
      </w:r>
      <w:r w:rsidRPr="00A82491">
        <w:rPr>
          <w:rFonts w:ascii="Times New Roman" w:eastAsia="Times New Roman" w:hAnsi="Times New Roman" w:cs="Times New Roman"/>
          <w:sz w:val="24"/>
          <w:szCs w:val="24"/>
          <w:lang w:eastAsia="es-CL"/>
        </w:rPr>
        <w:br/>
      </w:r>
      <w:r w:rsidRPr="00A82491">
        <w:rPr>
          <w:rFonts w:ascii="Times New Roman" w:eastAsia="Times New Roman" w:hAnsi="Times New Roman" w:cs="Times New Roman"/>
          <w:sz w:val="24"/>
          <w:szCs w:val="24"/>
          <w:lang w:eastAsia="es-CL"/>
        </w:rPr>
        <w:br/>
      </w:r>
      <w:r w:rsidRPr="00A82491">
        <w:rPr>
          <w:rFonts w:ascii="Times New Roman" w:eastAsia="Times New Roman" w:hAnsi="Times New Roman" w:cs="Times New Roman"/>
          <w:b/>
          <w:bCs/>
          <w:sz w:val="24"/>
          <w:szCs w:val="24"/>
          <w:lang w:eastAsia="es-CL"/>
        </w:rPr>
        <w:t>182</w:t>
      </w:r>
      <w:r w:rsidRPr="00A82491">
        <w:rPr>
          <w:rFonts w:ascii="Times New Roman" w:eastAsia="Times New Roman" w:hAnsi="Times New Roman" w:cs="Times New Roman"/>
          <w:sz w:val="24"/>
          <w:szCs w:val="24"/>
          <w:lang w:eastAsia="es-CL"/>
        </w:rPr>
        <w:t xml:space="preserve"> El principio del destino universal de los bienes exige que </w:t>
      </w:r>
      <w:r w:rsidRPr="00A82491">
        <w:rPr>
          <w:rFonts w:ascii="Times New Roman" w:eastAsia="Times New Roman" w:hAnsi="Times New Roman" w:cs="Times New Roman"/>
          <w:sz w:val="24"/>
          <w:szCs w:val="24"/>
          <w:highlight w:val="yellow"/>
          <w:lang w:eastAsia="es-CL"/>
        </w:rPr>
        <w:t>se vele con particular solicitud por los pobres, por aquellos que se encuentran en situaciones de marginación y, en cualquier caso, por las personas cuyas condiciones de vida les impiden un crecimiento adecuado.</w:t>
      </w:r>
      <w:r w:rsidRPr="00A82491">
        <w:rPr>
          <w:rFonts w:ascii="Times New Roman" w:eastAsia="Times New Roman" w:hAnsi="Times New Roman" w:cs="Times New Roman"/>
          <w:sz w:val="24"/>
          <w:szCs w:val="24"/>
          <w:lang w:eastAsia="es-CL"/>
        </w:rPr>
        <w:t xml:space="preserve"> A este propósito se debe reafirmar, con toda su fuerza, la opción preferencial por los pobres: « Esta es una opción o una forma especial de primacía en el ejercicio de la caridad cristiana, de la cual da testimonio toda la tradición de la Iglesia. Se refiere a la vida de cada cristiano, en cuanto imitador de la vida de Cristo, pero se aplica igualmente a nuestras responsabilidades sociales y, consiguientemente, a nuestro modo de vivir y a las decisiones que se deben tomar coherentemente sobre la propiedad y el uso de los bienes. Pero hoy, vista la dimensión mundial que ha adquirido la cuestión social, este amor preferencial, con las decisiones que nos inspira, no puede dejar de abarcar a las inmensas muchedumbres de hambrientos, mendigos, sin techo, sin cuidados médicos y, sobre todo, sin esperanza de un futuro mejor ». (Juan Pablo II)</w:t>
      </w:r>
      <w:r w:rsidRPr="00A82491">
        <w:rPr>
          <w:rFonts w:ascii="Times New Roman" w:eastAsia="Times New Roman" w:hAnsi="Times New Roman" w:cs="Times New Roman"/>
          <w:sz w:val="24"/>
          <w:szCs w:val="24"/>
          <w:lang w:eastAsia="es-CL"/>
        </w:rPr>
        <w:br/>
      </w:r>
      <w:r w:rsidRPr="00A82491">
        <w:rPr>
          <w:rFonts w:ascii="Times New Roman" w:eastAsia="Times New Roman" w:hAnsi="Times New Roman" w:cs="Times New Roman"/>
          <w:sz w:val="24"/>
          <w:szCs w:val="24"/>
          <w:lang w:eastAsia="es-CL"/>
        </w:rPr>
        <w:br/>
      </w:r>
      <w:r w:rsidRPr="00A82491">
        <w:rPr>
          <w:rFonts w:ascii="Times New Roman" w:eastAsia="Times New Roman" w:hAnsi="Times New Roman" w:cs="Times New Roman"/>
          <w:b/>
          <w:bCs/>
          <w:sz w:val="24"/>
          <w:szCs w:val="24"/>
          <w:lang w:eastAsia="es-CL"/>
        </w:rPr>
        <w:t>183</w:t>
      </w:r>
      <w:r w:rsidRPr="00A82491">
        <w:rPr>
          <w:rFonts w:ascii="Times New Roman" w:eastAsia="Times New Roman" w:hAnsi="Times New Roman" w:cs="Times New Roman"/>
          <w:sz w:val="24"/>
          <w:szCs w:val="24"/>
          <w:lang w:eastAsia="es-CL"/>
        </w:rPr>
        <w:t xml:space="preserve"> </w:t>
      </w:r>
      <w:r w:rsidRPr="00A82491">
        <w:rPr>
          <w:rFonts w:ascii="Times New Roman" w:eastAsia="Times New Roman" w:hAnsi="Times New Roman" w:cs="Times New Roman"/>
          <w:sz w:val="24"/>
          <w:szCs w:val="24"/>
          <w:highlight w:val="yellow"/>
          <w:lang w:eastAsia="es-CL"/>
        </w:rPr>
        <w:t>La miseria humana es el signo evidente de la condición de debilidad del hombre y de su necesidad de salvación.</w:t>
      </w:r>
      <w:r w:rsidRPr="00A82491">
        <w:rPr>
          <w:rFonts w:ascii="Times New Roman" w:eastAsia="Times New Roman" w:hAnsi="Times New Roman" w:cs="Times New Roman"/>
          <w:sz w:val="24"/>
          <w:szCs w:val="24"/>
          <w:lang w:eastAsia="es-CL"/>
        </w:rPr>
        <w:t xml:space="preserve"> De ella se compadeció Cristo Salvador, que se identificó con sus « hermanos más pequeños » (Mt 25,40.45). « Jesucristo reconocerá a sus elegidos en lo que hayan hecho por los pobres. La buena nueva "anunciada a los pobres" (Mt11</w:t>
      </w:r>
      <w:proofErr w:type="gramStart"/>
      <w:r w:rsidRPr="00A82491">
        <w:rPr>
          <w:rFonts w:ascii="Times New Roman" w:eastAsia="Times New Roman" w:hAnsi="Times New Roman" w:cs="Times New Roman"/>
          <w:sz w:val="24"/>
          <w:szCs w:val="24"/>
          <w:lang w:eastAsia="es-CL"/>
        </w:rPr>
        <w:t>,5</w:t>
      </w:r>
      <w:proofErr w:type="gramEnd"/>
      <w:r w:rsidRPr="00A82491">
        <w:rPr>
          <w:rFonts w:ascii="Times New Roman" w:eastAsia="Times New Roman" w:hAnsi="Times New Roman" w:cs="Times New Roman"/>
          <w:sz w:val="24"/>
          <w:szCs w:val="24"/>
          <w:lang w:eastAsia="es-CL"/>
        </w:rPr>
        <w:t xml:space="preserve">; </w:t>
      </w:r>
      <w:proofErr w:type="spellStart"/>
      <w:r w:rsidRPr="00A82491">
        <w:rPr>
          <w:rFonts w:ascii="Times New Roman" w:eastAsia="Times New Roman" w:hAnsi="Times New Roman" w:cs="Times New Roman"/>
          <w:sz w:val="24"/>
          <w:szCs w:val="24"/>
          <w:lang w:eastAsia="es-CL"/>
        </w:rPr>
        <w:t>Lc</w:t>
      </w:r>
      <w:proofErr w:type="spellEnd"/>
      <w:r w:rsidRPr="00A82491">
        <w:rPr>
          <w:rFonts w:ascii="Times New Roman" w:eastAsia="Times New Roman" w:hAnsi="Times New Roman" w:cs="Times New Roman"/>
          <w:sz w:val="24"/>
          <w:szCs w:val="24"/>
          <w:lang w:eastAsia="es-CL"/>
        </w:rPr>
        <w:t xml:space="preserve"> 4,18) es el signo de la presencia de Cristo ». (Catecismo de la Iglesia, 2448). Jesús dice: « Pobres tendréis siempre con vosotros, pero a mí no me tendréis siempre » (Mt 26,11; cf. Mc 14,3-9; </w:t>
      </w:r>
      <w:proofErr w:type="spellStart"/>
      <w:r w:rsidRPr="00A82491">
        <w:rPr>
          <w:rFonts w:ascii="Times New Roman" w:eastAsia="Times New Roman" w:hAnsi="Times New Roman" w:cs="Times New Roman"/>
          <w:sz w:val="24"/>
          <w:szCs w:val="24"/>
          <w:lang w:eastAsia="es-CL"/>
        </w:rPr>
        <w:t>Jn</w:t>
      </w:r>
      <w:proofErr w:type="spellEnd"/>
      <w:r w:rsidRPr="00A82491">
        <w:rPr>
          <w:rFonts w:ascii="Times New Roman" w:eastAsia="Times New Roman" w:hAnsi="Times New Roman" w:cs="Times New Roman"/>
          <w:sz w:val="24"/>
          <w:szCs w:val="24"/>
          <w:lang w:eastAsia="es-CL"/>
        </w:rPr>
        <w:t xml:space="preserve"> 12,1-8) no para contraponer al servicio de los pobres la atención dirigida a Él. El realismo cristiano, mientras por una parte aprecia los esfuerzos laudables que se realizan para erradicar la pobreza, por otra parte pone en guardia frente a posiciones ideológicas y mesianismos que alimentan la ilusión de que se pueda eliminar totalmente de este mundo el problema de la pobreza. Esto sucederá sólo a su regreso, cuando Él estará de nuevo con nosotros para siempre. Mientras tanto, los pobres quedan confiados a nosotros y en base a </w:t>
      </w:r>
      <w:r w:rsidRPr="00A82491">
        <w:rPr>
          <w:rFonts w:ascii="Times New Roman" w:eastAsia="Times New Roman" w:hAnsi="Times New Roman" w:cs="Times New Roman"/>
          <w:sz w:val="24"/>
          <w:szCs w:val="24"/>
          <w:lang w:eastAsia="es-CL"/>
        </w:rPr>
        <w:lastRenderedPageBreak/>
        <w:t>esta responsabilidad seremos juzgados al final (cf. Mt 25,31-46): « Nuestro Señor nos advierte que estaremos separados de Él si omitimos socorrer las necesidades graves de los pobres y de los pequeños que son sus hermanos ».</w:t>
      </w:r>
      <w:r w:rsidRPr="00A82491">
        <w:rPr>
          <w:rFonts w:ascii="Times New Roman" w:eastAsia="Times New Roman" w:hAnsi="Times New Roman" w:cs="Times New Roman"/>
          <w:sz w:val="24"/>
          <w:szCs w:val="24"/>
          <w:lang w:eastAsia="es-CL"/>
        </w:rPr>
        <w:br/>
      </w:r>
      <w:r w:rsidRPr="00A82491">
        <w:rPr>
          <w:rFonts w:ascii="Times New Roman" w:eastAsia="Times New Roman" w:hAnsi="Times New Roman" w:cs="Times New Roman"/>
          <w:sz w:val="24"/>
          <w:szCs w:val="24"/>
          <w:lang w:eastAsia="es-CL"/>
        </w:rPr>
        <w:br/>
      </w:r>
      <w:r w:rsidRPr="00A82491">
        <w:rPr>
          <w:rFonts w:ascii="Times New Roman" w:eastAsia="Times New Roman" w:hAnsi="Times New Roman" w:cs="Times New Roman"/>
          <w:b/>
          <w:bCs/>
          <w:sz w:val="24"/>
          <w:szCs w:val="24"/>
          <w:lang w:eastAsia="es-CL"/>
        </w:rPr>
        <w:t>184</w:t>
      </w:r>
      <w:r w:rsidRPr="00A82491">
        <w:rPr>
          <w:rFonts w:ascii="Times New Roman" w:eastAsia="Times New Roman" w:hAnsi="Times New Roman" w:cs="Times New Roman"/>
          <w:sz w:val="24"/>
          <w:szCs w:val="24"/>
          <w:lang w:eastAsia="es-CL"/>
        </w:rPr>
        <w:t xml:space="preserve"> </w:t>
      </w:r>
      <w:r w:rsidRPr="00A82491">
        <w:rPr>
          <w:rFonts w:ascii="Times New Roman" w:eastAsia="Times New Roman" w:hAnsi="Times New Roman" w:cs="Times New Roman"/>
          <w:sz w:val="24"/>
          <w:szCs w:val="24"/>
          <w:highlight w:val="yellow"/>
          <w:lang w:eastAsia="es-CL"/>
        </w:rPr>
        <w:t>El amor de la Iglesia por los pobres se inspira en el Evangelio de las bienaventuranzas, en la pobreza de Jesús y en su atención por los pobres. Este amor se refiere a la pobreza material y también a las numerosas formas de pobreza cultural y religiosa.</w:t>
      </w:r>
      <w:r w:rsidRPr="00A82491">
        <w:rPr>
          <w:rFonts w:ascii="Times New Roman" w:eastAsia="Times New Roman" w:hAnsi="Times New Roman" w:cs="Times New Roman"/>
          <w:sz w:val="24"/>
          <w:szCs w:val="24"/>
          <w:lang w:eastAsia="es-CL"/>
        </w:rPr>
        <w:t xml:space="preserve"> La Iglesia « desde los orígenes, y a pesar de los fallos de muchos de sus miembros, no ha cesado de trabajar para aliviarlos, defenderlos y liberarlos. Lo ha hecho mediante innumerables obras de beneficencia, que siempre y en todo lugar continúan siendo indispensables ». (Catecismo de la Iglesia, 2448) Inspirada en el precepto evangélico: « De gracia lo recibisteis; dadlo de gracia » (Mt 10,8), la Iglesia enseña a socorrer al prójimo en sus múltiples necesidades y prodiga en la comunidad humana innumerables obras de misericordia corporales y espirituales: « Entre estas obras, la limosna hecha a los pobres es uno de los principales testimonios de la caridad fraterna; es también una práctica de justicia que agrada a Dios », aun cuando la práctica de la caridad no se reduce a la limosna, sino que implica la atención a la dimensión social y política del problema de la pobreza. Sobre esta relación entre caridad y justicia retorna constantemente la enseñanza de la Iglesia: «Cuando damos a los pobres las cosas indispensables no les hacemos liberalidades personales, sino que les devolvemos lo que es suyo. Más que realizar un acto de caridad, lo que hacemos es cumplir un deber de justicia ». (San Gregorio Magno) Los Padres Conciliares recomiendan con fuerza que se cumpla este deber « para no dar como ayuda de caridad lo que ya se debe por razón de justicia ». El amor por los pobres es ciertamente « incompatible con el amor desordenado de las riquezas o su uso egoísta » (cf. </w:t>
      </w:r>
      <w:proofErr w:type="spellStart"/>
      <w:r w:rsidRPr="00A82491">
        <w:rPr>
          <w:rFonts w:ascii="Times New Roman" w:eastAsia="Times New Roman" w:hAnsi="Times New Roman" w:cs="Times New Roman"/>
          <w:sz w:val="24"/>
          <w:szCs w:val="24"/>
          <w:lang w:eastAsia="es-CL"/>
        </w:rPr>
        <w:t>St</w:t>
      </w:r>
      <w:proofErr w:type="spellEnd"/>
      <w:r w:rsidRPr="00A82491">
        <w:rPr>
          <w:rFonts w:ascii="Times New Roman" w:eastAsia="Times New Roman" w:hAnsi="Times New Roman" w:cs="Times New Roman"/>
          <w:sz w:val="24"/>
          <w:szCs w:val="24"/>
          <w:lang w:eastAsia="es-CL"/>
        </w:rPr>
        <w:t xml:space="preserve"> 5,1-6).</w:t>
      </w:r>
    </w:p>
    <w:p w:rsidR="00061A7D" w:rsidRDefault="00A82491"/>
    <w:sectPr w:rsidR="00061A7D" w:rsidSect="009C414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2491"/>
    <w:rsid w:val="0067208E"/>
    <w:rsid w:val="008B7D1A"/>
    <w:rsid w:val="009C4144"/>
    <w:rsid w:val="00A82491"/>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144"/>
  </w:style>
  <w:style w:type="paragraph" w:styleId="Ttulo2">
    <w:name w:val="heading 2"/>
    <w:basedOn w:val="Normal"/>
    <w:link w:val="Ttulo2Car"/>
    <w:uiPriority w:val="9"/>
    <w:qFormat/>
    <w:rsid w:val="00A82491"/>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paragraph" w:styleId="Ttulo3">
    <w:name w:val="heading 3"/>
    <w:basedOn w:val="Normal"/>
    <w:link w:val="Ttulo3Car"/>
    <w:uiPriority w:val="9"/>
    <w:qFormat/>
    <w:rsid w:val="00A82491"/>
    <w:pPr>
      <w:spacing w:before="100" w:beforeAutospacing="1" w:after="100" w:afterAutospacing="1" w:line="240" w:lineRule="auto"/>
      <w:outlineLvl w:val="2"/>
    </w:pPr>
    <w:rPr>
      <w:rFonts w:ascii="Times New Roman" w:eastAsia="Times New Roman" w:hAnsi="Times New Roman" w:cs="Times New Roman"/>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82491"/>
    <w:rPr>
      <w:rFonts w:ascii="Times New Roman" w:eastAsia="Times New Roman" w:hAnsi="Times New Roman" w:cs="Times New Roman"/>
      <w:b/>
      <w:bCs/>
      <w:sz w:val="36"/>
      <w:szCs w:val="36"/>
      <w:lang w:eastAsia="es-CL"/>
    </w:rPr>
  </w:style>
  <w:style w:type="character" w:customStyle="1" w:styleId="Ttulo3Car">
    <w:name w:val="Título 3 Car"/>
    <w:basedOn w:val="Fuentedeprrafopredeter"/>
    <w:link w:val="Ttulo3"/>
    <w:uiPriority w:val="9"/>
    <w:rsid w:val="00A82491"/>
    <w:rPr>
      <w:rFonts w:ascii="Times New Roman" w:eastAsia="Times New Roman" w:hAnsi="Times New Roman" w:cs="Times New Roman"/>
      <w:b/>
      <w:bCs/>
      <w:sz w:val="27"/>
      <w:szCs w:val="27"/>
      <w:lang w:eastAsia="es-CL"/>
    </w:rPr>
  </w:style>
  <w:style w:type="character" w:styleId="Hipervnculo">
    <w:name w:val="Hyperlink"/>
    <w:basedOn w:val="Fuentedeprrafopredeter"/>
    <w:uiPriority w:val="99"/>
    <w:semiHidden/>
    <w:unhideWhenUsed/>
    <w:rsid w:val="00A82491"/>
    <w:rPr>
      <w:color w:val="0000FF"/>
      <w:u w:val="single"/>
    </w:rPr>
  </w:style>
  <w:style w:type="character" w:styleId="nfasis">
    <w:name w:val="Emphasis"/>
    <w:basedOn w:val="Fuentedeprrafopredeter"/>
    <w:uiPriority w:val="20"/>
    <w:qFormat/>
    <w:rsid w:val="00A82491"/>
    <w:rPr>
      <w:i/>
      <w:iCs/>
    </w:rPr>
  </w:style>
  <w:style w:type="character" w:styleId="Textoennegrita">
    <w:name w:val="Strong"/>
    <w:basedOn w:val="Fuentedeprrafopredeter"/>
    <w:uiPriority w:val="22"/>
    <w:qFormat/>
    <w:rsid w:val="00A82491"/>
    <w:rPr>
      <w:b/>
      <w:bCs/>
    </w:rPr>
  </w:style>
  <w:style w:type="paragraph" w:styleId="Textodeglobo">
    <w:name w:val="Balloon Text"/>
    <w:basedOn w:val="Normal"/>
    <w:link w:val="TextodegloboCar"/>
    <w:uiPriority w:val="99"/>
    <w:semiHidden/>
    <w:unhideWhenUsed/>
    <w:rsid w:val="00A824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24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6587561">
      <w:bodyDiv w:val="1"/>
      <w:marLeft w:val="0"/>
      <w:marRight w:val="0"/>
      <w:marTop w:val="0"/>
      <w:marBottom w:val="0"/>
      <w:divBdr>
        <w:top w:val="none" w:sz="0" w:space="0" w:color="auto"/>
        <w:left w:val="none" w:sz="0" w:space="0" w:color="auto"/>
        <w:bottom w:val="none" w:sz="0" w:space="0" w:color="auto"/>
        <w:right w:val="none" w:sz="0" w:space="0" w:color="auto"/>
      </w:divBdr>
      <w:divsChild>
        <w:div w:id="1528592769">
          <w:marLeft w:val="0"/>
          <w:marRight w:val="0"/>
          <w:marTop w:val="0"/>
          <w:marBottom w:val="0"/>
          <w:divBdr>
            <w:top w:val="none" w:sz="0" w:space="0" w:color="auto"/>
            <w:left w:val="none" w:sz="0" w:space="0" w:color="auto"/>
            <w:bottom w:val="none" w:sz="0" w:space="0" w:color="auto"/>
            <w:right w:val="none" w:sz="0" w:space="0" w:color="auto"/>
          </w:divBdr>
          <w:divsChild>
            <w:div w:id="1780753603">
              <w:marLeft w:val="0"/>
              <w:marRight w:val="0"/>
              <w:marTop w:val="0"/>
              <w:marBottom w:val="0"/>
              <w:divBdr>
                <w:top w:val="none" w:sz="0" w:space="0" w:color="auto"/>
                <w:left w:val="none" w:sz="0" w:space="0" w:color="auto"/>
                <w:bottom w:val="none" w:sz="0" w:space="0" w:color="auto"/>
                <w:right w:val="none" w:sz="0" w:space="0" w:color="auto"/>
              </w:divBdr>
              <w:divsChild>
                <w:div w:id="725909255">
                  <w:marLeft w:val="0"/>
                  <w:marRight w:val="0"/>
                  <w:marTop w:val="0"/>
                  <w:marBottom w:val="0"/>
                  <w:divBdr>
                    <w:top w:val="none" w:sz="0" w:space="0" w:color="auto"/>
                    <w:left w:val="none" w:sz="0" w:space="0" w:color="auto"/>
                    <w:bottom w:val="none" w:sz="0" w:space="0" w:color="auto"/>
                    <w:right w:val="none" w:sz="0" w:space="0" w:color="auto"/>
                  </w:divBdr>
                  <w:divsChild>
                    <w:div w:id="148859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bp0.blogger.com/_CDun2FYANHw/R9Phr7_wb8I/AAAAAAAABpw/ZNWIX5ACp50/s1600-h/Pdvd_016.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682</Words>
  <Characters>3753</Characters>
  <Application>Microsoft Office Word</Application>
  <DocSecurity>0</DocSecurity>
  <Lines>31</Lines>
  <Paragraphs>8</Paragraphs>
  <ScaleCrop>false</ScaleCrop>
  <Company/>
  <LinksUpToDate>false</LinksUpToDate>
  <CharactersWithSpaces>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Cushita</dc:creator>
  <cp:lastModifiedBy>Cushita</cp:lastModifiedBy>
  <cp:revision>1</cp:revision>
  <dcterms:created xsi:type="dcterms:W3CDTF">2010-09-07T15:26:00Z</dcterms:created>
  <dcterms:modified xsi:type="dcterms:W3CDTF">2010-09-07T15:30:00Z</dcterms:modified>
</cp:coreProperties>
</file>