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1" w:rsidRPr="00D26A44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i/>
          <w:color w:val="0C67AF"/>
          <w:sz w:val="32"/>
          <w:szCs w:val="24"/>
        </w:rPr>
      </w:pPr>
      <w:r w:rsidRPr="00D26A44">
        <w:rPr>
          <w:rFonts w:asciiTheme="majorHAnsi" w:hAnsiTheme="majorHAnsi" w:cs="Arial"/>
          <w:b/>
          <w:i/>
          <w:color w:val="0C67AF"/>
          <w:sz w:val="32"/>
          <w:szCs w:val="24"/>
        </w:rPr>
        <w:t>I dispositivi PLA</w:t>
      </w: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</w:rPr>
      </w:pP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12121"/>
        </w:rPr>
      </w:pP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noProof/>
          <w:color w:val="212121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294640</wp:posOffset>
            </wp:positionV>
            <wp:extent cx="3195955" cy="1476375"/>
            <wp:effectExtent l="19050" t="0" r="4445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12121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208915</wp:posOffset>
            </wp:positionV>
            <wp:extent cx="2752725" cy="1638300"/>
            <wp:effectExtent l="19050" t="0" r="9525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212121"/>
        </w:rPr>
        <w:t>A                                                                                 B</w:t>
      </w:r>
    </w:p>
    <w:p w:rsidR="00650E11" w:rsidRPr="00701705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I dispositivi programmabili che sono realizzati con la struttura mostrata in figura A  sono detti</w:t>
      </w:r>
      <w:r>
        <w:rPr>
          <w:rFonts w:ascii="Times New Roman" w:hAnsi="Times New Roman" w:cs="Times New Roman"/>
          <w:color w:val="000000"/>
        </w:rPr>
        <w:t xml:space="preserve"> 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PLA</w:t>
      </w:r>
      <w:r>
        <w:rPr>
          <w:rFonts w:ascii="Times New Roman" w:hAnsi="Times New Roman" w:cs="Times New Roman"/>
          <w:b/>
          <w:bCs/>
          <w:color w:val="1B569B"/>
        </w:rPr>
        <w:t xml:space="preserve"> </w:t>
      </w:r>
      <w:r>
        <w:rPr>
          <w:rFonts w:ascii="Times New Roman" w:hAnsi="Times New Roman" w:cs="Times New Roman"/>
          <w:i/>
          <w:iCs/>
          <w:color w:val="1B569B"/>
        </w:rPr>
        <w:t>(</w:t>
      </w:r>
      <w:proofErr w:type="spellStart"/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Programtnable</w:t>
      </w:r>
      <w:proofErr w:type="spellEnd"/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 </w:t>
      </w:r>
      <w:proofErr w:type="spellStart"/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Logic</w:t>
      </w:r>
      <w:proofErr w:type="spellEnd"/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 </w:t>
      </w:r>
      <w:proofErr w:type="spellStart"/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Array</w:t>
      </w:r>
      <w:proofErr w:type="spellEnd"/>
      <w:r w:rsidRPr="00701705">
        <w:rPr>
          <w:rFonts w:asciiTheme="majorHAnsi" w:hAnsiTheme="majorHAnsi" w:cs="Arial"/>
          <w:sz w:val="24"/>
          <w:szCs w:val="24"/>
        </w:rPr>
        <w:t xml:space="preserve">); in essi è </w:t>
      </w:r>
      <w:r w:rsidR="005414A6">
        <w:rPr>
          <w:rFonts w:asciiTheme="majorHAnsi" w:hAnsiTheme="majorHAnsi" w:cs="Arial"/>
          <w:sz w:val="24"/>
          <w:szCs w:val="24"/>
        </w:rPr>
        <w:t>possi</w:t>
      </w:r>
      <w:r w:rsidRPr="00701705">
        <w:rPr>
          <w:rFonts w:asciiTheme="majorHAnsi" w:hAnsiTheme="majorHAnsi" w:cs="Arial"/>
          <w:sz w:val="24"/>
          <w:szCs w:val="24"/>
        </w:rPr>
        <w:t>bi</w:t>
      </w:r>
      <w:r w:rsidR="005414A6">
        <w:rPr>
          <w:rFonts w:asciiTheme="majorHAnsi" w:hAnsiTheme="majorHAnsi" w:cs="Arial"/>
          <w:sz w:val="24"/>
          <w:szCs w:val="24"/>
        </w:rPr>
        <w:t>le programmare le connessioni si</w:t>
      </w:r>
      <w:r w:rsidRPr="00701705">
        <w:rPr>
          <w:rFonts w:asciiTheme="majorHAnsi" w:hAnsiTheme="majorHAnsi" w:cs="Arial"/>
          <w:sz w:val="24"/>
          <w:szCs w:val="24"/>
        </w:rPr>
        <w:t>a nella matrice di ingresso sia nella matrice di uscita.</w:t>
      </w: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E11" w:rsidRPr="00701705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II numero delle connessioni e dei segnali presenti nelle matrici di ingresso e di uscita dei componenti reali è però tale che risulta improponibile l'uso di schemi elettrici come quel</w:t>
      </w:r>
      <w:r w:rsidRPr="00701705">
        <w:rPr>
          <w:rFonts w:asciiTheme="majorHAnsi" w:hAnsiTheme="majorHAnsi" w:cs="Arial"/>
          <w:sz w:val="24"/>
          <w:szCs w:val="24"/>
        </w:rPr>
        <w:softHyphen/>
        <w:t>lo di figura; per questo motivo sì utilizza una simbologia grafica che consente dì sem</w:t>
      </w:r>
      <w:r w:rsidRPr="00701705">
        <w:rPr>
          <w:rFonts w:asciiTheme="majorHAnsi" w:hAnsiTheme="majorHAnsi" w:cs="Arial"/>
          <w:sz w:val="24"/>
          <w:szCs w:val="24"/>
        </w:rPr>
        <w:softHyphen/>
        <w:t>plificare il disegno: a ciascuna porta and viene associata una sola linea, detta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 linea pro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softHyphen/>
        <w:t>dotto,</w:t>
      </w:r>
      <w:r>
        <w:rPr>
          <w:rFonts w:ascii="Times New Roman" w:eastAsia="Times New Roman" w:hAnsi="Times New Roman" w:cs="Times New Roman"/>
          <w:b/>
          <w:bCs/>
          <w:color w:val="1B569B"/>
        </w:rPr>
        <w:t xml:space="preserve"> </w:t>
      </w:r>
      <w:r w:rsidRPr="00701705">
        <w:rPr>
          <w:rFonts w:asciiTheme="majorHAnsi" w:hAnsiTheme="majorHAnsi" w:cs="Arial"/>
          <w:sz w:val="24"/>
          <w:szCs w:val="24"/>
        </w:rPr>
        <w:t>cui corrisponde un bus con numero di linee pari al numero delle linee di segnale presenti nella matrice di ingresso. Ciascuna linea prodotto dispone di un numero di di</w:t>
      </w:r>
      <w:r w:rsidRPr="00701705">
        <w:rPr>
          <w:rFonts w:asciiTheme="majorHAnsi" w:hAnsiTheme="majorHAnsi" w:cs="Arial"/>
          <w:sz w:val="24"/>
          <w:szCs w:val="24"/>
        </w:rPr>
        <w:softHyphen/>
        <w:t>spositivi fusibili pari al numero dei segnali della matrice ed è in grado, quindi, di realiz</w:t>
      </w:r>
      <w:r w:rsidRPr="00701705">
        <w:rPr>
          <w:rFonts w:asciiTheme="majorHAnsi" w:hAnsiTheme="majorHAnsi" w:cs="Arial"/>
          <w:sz w:val="24"/>
          <w:szCs w:val="24"/>
        </w:rPr>
        <w:softHyphen/>
        <w:t>zare la connessione con uno qualsiasi di essi. La</w:t>
      </w:r>
      <w:r>
        <w:rPr>
          <w:rFonts w:ascii="Times New Roman" w:eastAsia="Times New Roman" w:hAnsi="Times New Roman" w:cs="Times New Roman"/>
          <w:color w:val="212121"/>
        </w:rPr>
        <w:t xml:space="preserve"> 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connessione</w:t>
      </w:r>
      <w:r>
        <w:rPr>
          <w:rFonts w:ascii="Times New Roman" w:eastAsia="Times New Roman" w:hAnsi="Times New Roman" w:cs="Times New Roman"/>
          <w:b/>
          <w:bCs/>
          <w:color w:val="1B569B"/>
        </w:rPr>
        <w:t xml:space="preserve"> </w:t>
      </w:r>
      <w:r w:rsidRPr="00701705">
        <w:rPr>
          <w:rFonts w:asciiTheme="majorHAnsi" w:hAnsiTheme="majorHAnsi" w:cs="Arial"/>
          <w:sz w:val="24"/>
          <w:szCs w:val="24"/>
        </w:rPr>
        <w:t>viene indicata con il sim</w:t>
      </w:r>
      <w:r w:rsidRPr="00701705">
        <w:rPr>
          <w:rFonts w:asciiTheme="majorHAnsi" w:hAnsiTheme="majorHAnsi" w:cs="Arial"/>
          <w:sz w:val="24"/>
          <w:szCs w:val="24"/>
        </w:rPr>
        <w:softHyphen/>
        <w:t>bolo x posto in corrispondenza dell'incrocio tra il segnale e la linea prodotto: l'assenza di tale simbolo indica l'esclusione della connessione.</w:t>
      </w: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B569B"/>
        </w:rPr>
      </w:pPr>
      <w:r w:rsidRPr="00701705">
        <w:rPr>
          <w:rFonts w:asciiTheme="majorHAnsi" w:hAnsiTheme="majorHAnsi" w:cs="Arial"/>
          <w:sz w:val="24"/>
          <w:szCs w:val="24"/>
        </w:rPr>
        <w:t xml:space="preserve">La stessa simbologia è utilizzata anche per le porte or che forniscono i segnali di uscita; in tal caso la linea associata a ciascuna porta or è detta 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linea somma</w:t>
      </w:r>
      <w:r>
        <w:rPr>
          <w:rFonts w:ascii="Times New Roman" w:eastAsia="Times New Roman" w:hAnsi="Times New Roman" w:cs="Times New Roman"/>
          <w:color w:val="1B569B"/>
        </w:rPr>
        <w:t xml:space="preserve">. </w:t>
      </w:r>
    </w:p>
    <w:p w:rsidR="00650E11" w:rsidRPr="00701705" w:rsidRDefault="00650E11" w:rsidP="007017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631825</wp:posOffset>
            </wp:positionV>
            <wp:extent cx="6230620" cy="2790825"/>
            <wp:effectExtent l="19050" t="0" r="0" b="0"/>
            <wp:wrapTopAndBottom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1705">
        <w:rPr>
          <w:rFonts w:asciiTheme="majorHAnsi" w:hAnsiTheme="majorHAnsi" w:cs="Arial"/>
          <w:sz w:val="24"/>
          <w:szCs w:val="24"/>
        </w:rPr>
        <w:t>Utilizzando questa simbologia grafica, gli schemi delle figure A e B vengono rappre</w:t>
      </w:r>
      <w:r w:rsidRPr="00701705">
        <w:rPr>
          <w:rFonts w:asciiTheme="majorHAnsi" w:hAnsiTheme="majorHAnsi" w:cs="Arial"/>
          <w:sz w:val="24"/>
          <w:szCs w:val="24"/>
        </w:rPr>
        <w:softHyphen/>
        <w:t>sentati come nelle figure 2A e 2B:</w:t>
      </w:r>
    </w:p>
    <w:p w:rsidR="00650E11" w:rsidRPr="00701705" w:rsidRDefault="00DB3AD5" w:rsidP="007017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2A" style="position:absolute;margin-left:339.4pt;margin-top:217.65pt;width:24.75pt;height:12.75pt;z-index:251663360" fillcolor="black [3213]">
            <v:shadow color="#868686"/>
            <v:textpath style="font-family:&quot;Arial Black&quot;;font-size:9pt;v-text-kern:t" trim="t" fitpath="t" string="2B"/>
          </v:shape>
        </w:pict>
      </w:r>
      <w:r w:rsidRPr="00DB3AD5">
        <w:rPr>
          <w:noProof/>
        </w:rPr>
        <w:pict>
          <v:shape id="_x0000_s1026" type="#_x0000_t136" alt="2A" style="position:absolute;margin-left:91.05pt;margin-top:217.65pt;width:24.75pt;height:12.75pt;z-index:251662336" fillcolor="black [3213]">
            <v:shadow color="#868686"/>
            <v:textpath style="font-family:&quot;Arial Black&quot;;font-size:9pt;v-text-kern:t" trim="t" fitpath="t" string="2A"/>
          </v:shape>
        </w:pict>
      </w:r>
    </w:p>
    <w:p w:rsidR="00650E11" w:rsidRPr="00701705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lastRenderedPageBreak/>
        <w:t xml:space="preserve">Lo schema di figura </w:t>
      </w:r>
      <w:r w:rsidR="00701705" w:rsidRPr="00701705">
        <w:rPr>
          <w:rFonts w:asciiTheme="majorHAnsi" w:hAnsiTheme="majorHAnsi" w:cs="Arial"/>
          <w:sz w:val="24"/>
          <w:szCs w:val="24"/>
        </w:rPr>
        <w:t>2A</w:t>
      </w:r>
      <w:r w:rsidRPr="00701705">
        <w:rPr>
          <w:rFonts w:asciiTheme="majorHAnsi" w:hAnsiTheme="majorHAnsi" w:cs="Arial"/>
          <w:sz w:val="24"/>
          <w:szCs w:val="24"/>
        </w:rPr>
        <w:t xml:space="preserve"> consente di determinare i blocchi che sono sempre presentì in un dispositivo programmabile PLA;</w:t>
      </w:r>
    </w:p>
    <w:p w:rsidR="00650E11" w:rsidRPr="00701705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Lo schema di figura consente di determinare i blocchi che sono sempre presentì in un dispositivo programmabile PLA;</w:t>
      </w: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- una matrice di connessione tra gli ingressi e le linee prodotto, detta</w:t>
      </w:r>
      <w:r>
        <w:rPr>
          <w:rFonts w:ascii="Times New Roman" w:hAnsi="Times New Roman" w:cs="Times New Roman"/>
          <w:color w:val="212121"/>
        </w:rPr>
        <w:t xml:space="preserve"> 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piano prodotto</w:t>
      </w:r>
      <w:r>
        <w:rPr>
          <w:rFonts w:ascii="Times New Roman" w:hAnsi="Times New Roman" w:cs="Times New Roman"/>
          <w:b/>
          <w:bCs/>
          <w:color w:val="1B569B"/>
        </w:rPr>
        <w:t>;</w:t>
      </w:r>
    </w:p>
    <w:p w:rsidR="00650E11" w:rsidRPr="00701705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-  gli operatori logici and;</w:t>
      </w:r>
    </w:p>
    <w:p w:rsidR="00650E11" w:rsidRDefault="00650E11" w:rsidP="00650E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-  una matrice di connessione tra ì prodotti logici e le linee somma, detta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01705">
        <w:rPr>
          <w:rFonts w:asciiTheme="majorHAnsi" w:hAnsiTheme="majorHAnsi" w:cs="Arial"/>
          <w:b/>
          <w:i/>
          <w:color w:val="0C67AF"/>
          <w:sz w:val="24"/>
          <w:szCs w:val="24"/>
        </w:rPr>
        <w:t>piano somma</w:t>
      </w:r>
      <w:r>
        <w:rPr>
          <w:rFonts w:ascii="Times New Roman" w:eastAsia="Times New Roman" w:hAnsi="Times New Roman" w:cs="Times New Roman"/>
          <w:b/>
          <w:bCs/>
          <w:color w:val="1B569B"/>
        </w:rPr>
        <w:t>;</w:t>
      </w:r>
    </w:p>
    <w:p w:rsidR="00701705" w:rsidRDefault="00650E11" w:rsidP="007017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- gli operatori logici or.</w:t>
      </w:r>
    </w:p>
    <w:p w:rsidR="00701705" w:rsidRPr="00701705" w:rsidRDefault="00701705" w:rsidP="007017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701705">
        <w:rPr>
          <w:rFonts w:asciiTheme="majorHAnsi" w:hAnsiTheme="majorHAnsi" w:cs="Arial"/>
          <w:sz w:val="24"/>
          <w:szCs w:val="24"/>
        </w:rPr>
        <w:t>La struttura di una PLA è complessa a causa della necessità di due diversi piani in cui sono presenti dispositivi programmabili; la presenza dei due piani, oltre alle complicazioni di ordine tecnologico, rende il dispositivo lento. Il tempo di ritardo che esso introduce tra l'istante in cui il segnale è presente in ingresso e l'istante in cui, elaborato, è valido in uscita è maggiore rispetto a un dispositivo che utilizza logiche discrete. Il motivo risulta evidente: il segnale nella sua propagazione dall'ingresso verso l'uscita, oltre alle porte, incontra almeno altri due dispositivi, il fusibile del piano prodotto e quello del piano somma, che introducono un ulteriore ritardo nella propagazione.</w:t>
      </w:r>
    </w:p>
    <w:p w:rsidR="00701705" w:rsidRPr="00701705" w:rsidRDefault="007017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701705" w:rsidRPr="00701705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0E11"/>
    <w:rsid w:val="005414A6"/>
    <w:rsid w:val="00650E11"/>
    <w:rsid w:val="00701705"/>
    <w:rsid w:val="00C45553"/>
    <w:rsid w:val="00D26A44"/>
    <w:rsid w:val="00DB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3</cp:revision>
  <dcterms:created xsi:type="dcterms:W3CDTF">2010-01-11T18:35:00Z</dcterms:created>
  <dcterms:modified xsi:type="dcterms:W3CDTF">2010-01-11T19:53:00Z</dcterms:modified>
</cp:coreProperties>
</file>