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AE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  <w:r w:rsidRPr="00D01DAC">
        <w:rPr>
          <w:rFonts w:ascii="Arial" w:hAnsi="Arial" w:cs="Arial"/>
          <w:b/>
        </w:rPr>
        <w:t>Artículo 4</w:t>
      </w:r>
      <w:r w:rsidRPr="00D01DAC">
        <w:rPr>
          <w:rFonts w:ascii="Arial" w:hAnsi="Arial" w:cs="Arial"/>
        </w:rPr>
        <w:t xml:space="preserve">. </w:t>
      </w:r>
      <w:r w:rsidRPr="00737D55">
        <w:rPr>
          <w:rFonts w:ascii="Arial" w:hAnsi="Arial" w:cs="Arial"/>
          <w:b/>
          <w:i/>
          <w:iCs/>
        </w:rPr>
        <w:t>Organización de los tres primeros cursos.</w:t>
      </w:r>
    </w:p>
    <w:p w:rsidR="00737D55" w:rsidRPr="00D01DAC" w:rsidRDefault="00737D55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2B6EAE" w:rsidRPr="00D01DAC" w:rsidRDefault="002B6EAE" w:rsidP="002B6E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De acuerdo con lo que establece el artículo 24.1 y 3 de la Ley Orgánica 2/2006, de 3 de mayo, de Educación, las materias de los cursos primero a tercero de la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Educación secundaria obligatoria serán las siguientes: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Ciencias de la naturaleza.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Ciencias sociales, geografía e historia.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Educación física.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Educación para la ciudadanía y los derechos humanos.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Educación plástica y visual.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Lengua castellana y literatura y, si la hubiere, lengua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gramStart"/>
      <w:r w:rsidRPr="00D01DAC">
        <w:rPr>
          <w:rFonts w:ascii="Arial" w:hAnsi="Arial" w:cs="Arial"/>
        </w:rPr>
        <w:t>cooficial</w:t>
      </w:r>
      <w:proofErr w:type="gramEnd"/>
      <w:r w:rsidRPr="00D01DAC">
        <w:rPr>
          <w:rFonts w:ascii="Arial" w:hAnsi="Arial" w:cs="Arial"/>
        </w:rPr>
        <w:t xml:space="preserve"> y literatura.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Lengua extranjera.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Matemáticas.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Música.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Tecnologías.</w:t>
      </w:r>
    </w:p>
    <w:p w:rsidR="002B6EAE" w:rsidRPr="00D01DAC" w:rsidRDefault="002B6EAE" w:rsidP="002B6E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En cada uno de estos tres primeros cursos, de acuerdo con lo que establece el artículo 24.2 de la Ley Orgánica 2/2006, de 3 de mayo, de Educación, todos los alumnos cursarán las materias siguientes: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Ciencias de la naturaleza.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Ciencias sociales, geografía e historia.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Educación física.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Lengua castellana y literatura y, si la hubiere, lengua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gramStart"/>
      <w:r w:rsidRPr="00D01DAC">
        <w:rPr>
          <w:rFonts w:ascii="Arial" w:hAnsi="Arial" w:cs="Arial"/>
        </w:rPr>
        <w:t>cooficial</w:t>
      </w:r>
      <w:proofErr w:type="gramEnd"/>
      <w:r w:rsidRPr="00D01DAC">
        <w:rPr>
          <w:rFonts w:ascii="Arial" w:hAnsi="Arial" w:cs="Arial"/>
        </w:rPr>
        <w:t xml:space="preserve"> y literatura.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Lengua extranjera.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Matemáticas.</w:t>
      </w:r>
    </w:p>
    <w:p w:rsidR="002B6EAE" w:rsidRPr="00D01DAC" w:rsidRDefault="002B6EAE" w:rsidP="002B6E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En uno de los tres primeros cursos todos los alumnos cursarán la materia de Educación para la ciudadanía y los derechos humanos, en la que se prestará especial atención a la igualdad entre hombres y mujeres.</w:t>
      </w:r>
    </w:p>
    <w:p w:rsidR="002B6EAE" w:rsidRPr="00D01DAC" w:rsidRDefault="002B6EAE" w:rsidP="002B6E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Las administraciones educativas podrán disponer, en aplicación del artículo 24.4 de la Ley Orgánica 2/2006, de 3 de mayo, de Educación, que en el tercer curso la materia de Ciencias de la naturaleza se desdoble en Biología  y geología, por un lado, y Física y química por otro. En todo caso, la citada materia mantendrá su carácter unitario a efectos de promoción.</w:t>
      </w:r>
    </w:p>
    <w:p w:rsidR="002B6EAE" w:rsidRPr="00D01DAC" w:rsidRDefault="002B6EAE" w:rsidP="002B6E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En cada uno de los cursos primero y segundo los alumnos cursarán un máximo de dos materias más que en el último ciclo de Educación primaria.</w:t>
      </w:r>
    </w:p>
    <w:p w:rsidR="002B6EAE" w:rsidRDefault="002B6EAE" w:rsidP="002B6E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Asimismo, en el conjunto de los tres cursos, los alumnos podrán cursar alguna materia optativa de acuerdo con el marco que establezcan las administraciones educativas. La oferta de materias en este ámbito de </w:t>
      </w:r>
      <w:proofErr w:type="spellStart"/>
      <w:r w:rsidRPr="00D01DAC">
        <w:rPr>
          <w:rFonts w:ascii="Arial" w:hAnsi="Arial" w:cs="Arial"/>
        </w:rPr>
        <w:t>optatividad</w:t>
      </w:r>
      <w:proofErr w:type="spellEnd"/>
      <w:r w:rsidRPr="00D01DAC">
        <w:rPr>
          <w:rFonts w:ascii="Arial" w:hAnsi="Arial" w:cs="Arial"/>
        </w:rPr>
        <w:t xml:space="preserve"> deberá incluir una segunda lengua extranjera y cultura clásica. Las administraciones educativas podrán incluir la segunda lengua extranjera entre las materias a las que se refiere el apartado 1 de este artículo.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p w:rsidR="002B6EAE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D01DAC">
        <w:rPr>
          <w:rFonts w:ascii="Arial" w:hAnsi="Arial" w:cs="Arial"/>
          <w:b/>
        </w:rPr>
        <w:t>Artículo 5</w:t>
      </w:r>
      <w:r w:rsidRPr="00D01DAC">
        <w:rPr>
          <w:rFonts w:ascii="Arial" w:hAnsi="Arial" w:cs="Arial"/>
        </w:rPr>
        <w:t xml:space="preserve">. </w:t>
      </w:r>
      <w:r w:rsidRPr="00737D55">
        <w:rPr>
          <w:rFonts w:ascii="Arial" w:hAnsi="Arial" w:cs="Arial"/>
          <w:b/>
          <w:i/>
          <w:iCs/>
        </w:rPr>
        <w:t>Organización del cuarto curso.</w:t>
      </w:r>
    </w:p>
    <w:p w:rsidR="00737D55" w:rsidRPr="00737D55" w:rsidRDefault="00737D55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</w:p>
    <w:p w:rsidR="002B6EAE" w:rsidRPr="00D01DAC" w:rsidRDefault="002B6EAE" w:rsidP="002B6EA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De acuerdo con lo que establece el artículo 25.1 de la Ley Orgánica 2/2006, de 3 de mayo, de Educación todos los alumnos deberán cursar en este curso las materias siguientes: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Ciencias sociales, geografía e historia.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Educación ético-cívica.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Educación física.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Lengua castellana y literatura y, si la hubiere, lengua cooficial y literatura.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Matemáticas.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Primera lengua extranjera.</w:t>
      </w:r>
    </w:p>
    <w:p w:rsidR="002B6EAE" w:rsidRPr="00D01DAC" w:rsidRDefault="002B6EAE" w:rsidP="002B6EA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Además de las materias enumeradas en el apartado anterior, de acuerdo con lo que establece el artículo 25.2 de la Ley Orgánica 2/2006, de 3 de mayo, de Educación, los alumnos deberán cursar tres materias de entre las siguientes: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Biología y geología.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Educación plástica y visual.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Física y química.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Informática.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Latín.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Música.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Segunda lengua extranjera.</w:t>
      </w:r>
    </w:p>
    <w:p w:rsidR="002B6EAE" w:rsidRPr="00D01DAC" w:rsidRDefault="002B6EAE" w:rsidP="002B6E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Tecnología.</w:t>
      </w:r>
    </w:p>
    <w:p w:rsidR="002B6EAE" w:rsidRPr="00D01DAC" w:rsidRDefault="002B6EAE" w:rsidP="002B6EA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Las administraciones educativas podrán disponer que la materia de Matemáticas se organice en dos opciones en función del carácter terminal o propedéutico que dicha materia tenga para cada alumno.</w:t>
      </w:r>
    </w:p>
    <w:p w:rsidR="002B6EAE" w:rsidRPr="00D01DAC" w:rsidRDefault="002B6EAE" w:rsidP="002B6EA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alumnos podrán cursar una o más materias optativas, de acuerdo con el marco que establezcan las administraciones educativas.</w:t>
      </w:r>
    </w:p>
    <w:p w:rsidR="002B6EAE" w:rsidRPr="00D01DAC" w:rsidRDefault="002B6EAE" w:rsidP="002B6EA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informarán y orientarán al alumnado con el fin de que la elección de materias a las que se refiere el apartado 2, así como la elección de materias optativas a las que hace referencia el apartado 6, faciliten tanto la consolidación de aprendizajes fundamentales como su orientación educativa posterior o su posible Incorporación a la vida laboral.</w:t>
      </w:r>
    </w:p>
    <w:p w:rsidR="002B6EAE" w:rsidRPr="00D01DAC" w:rsidRDefault="002B6EAE" w:rsidP="002B6EA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deberán ofrecer la totalidad de las materias a las que se refiere el apartado 2 de este artículo.</w:t>
      </w:r>
    </w:p>
    <w:p w:rsidR="002B6EAE" w:rsidRPr="00D01DAC" w:rsidRDefault="002B6EAE" w:rsidP="002B6EAE">
      <w:pPr>
        <w:spacing w:line="276" w:lineRule="auto"/>
        <w:jc w:val="both"/>
        <w:rPr>
          <w:rFonts w:ascii="Arial" w:hAnsi="Arial" w:cs="Arial"/>
        </w:rPr>
      </w:pPr>
    </w:p>
    <w:p w:rsidR="00D72137" w:rsidRDefault="00D72137"/>
    <w:sectPr w:rsidR="00D72137" w:rsidSect="00D72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C476D"/>
    <w:multiLevelType w:val="hybridMultilevel"/>
    <w:tmpl w:val="13E21F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071E3D"/>
    <w:multiLevelType w:val="hybridMultilevel"/>
    <w:tmpl w:val="34DA17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EAE"/>
    <w:rsid w:val="002B6EAE"/>
    <w:rsid w:val="003E4CAF"/>
    <w:rsid w:val="00737D55"/>
    <w:rsid w:val="007B65EF"/>
    <w:rsid w:val="00D7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2</cp:revision>
  <dcterms:created xsi:type="dcterms:W3CDTF">2009-11-19T15:48:00Z</dcterms:created>
  <dcterms:modified xsi:type="dcterms:W3CDTF">2009-11-19T17:42:00Z</dcterms:modified>
</cp:coreProperties>
</file>