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B2" w:rsidRDefault="006E7FB2" w:rsidP="006E7F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E7FB2">
        <w:rPr>
          <w:rFonts w:ascii="Arial" w:hAnsi="Arial" w:cs="Arial"/>
          <w:b/>
          <w:sz w:val="24"/>
          <w:szCs w:val="24"/>
        </w:rPr>
        <w:t xml:space="preserve">Artículo 94. </w:t>
      </w:r>
      <w:r w:rsidRPr="006E7FB2">
        <w:rPr>
          <w:rFonts w:ascii="Arial" w:hAnsi="Arial" w:cs="Arial"/>
          <w:b/>
          <w:i/>
          <w:iCs/>
          <w:sz w:val="24"/>
          <w:szCs w:val="24"/>
        </w:rPr>
        <w:t>Profesorado de educación secundaria obligatoria y de bachillerato.</w:t>
      </w:r>
    </w:p>
    <w:p w:rsidR="00F54339" w:rsidRPr="006E7FB2" w:rsidRDefault="00F54339" w:rsidP="006E7F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D72137" w:rsidRPr="006E7FB2" w:rsidRDefault="006E7FB2" w:rsidP="006E7FB2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6E7FB2">
        <w:rPr>
          <w:rFonts w:ascii="Arial" w:hAnsi="Arial" w:cs="Arial"/>
          <w:sz w:val="24"/>
          <w:szCs w:val="24"/>
        </w:rPr>
        <w:t>Para impartir las enseñanzas de educación secundaria obligatoria y de bachillerato será necesario tener el título de Licenciado, Ingeniero o Arquitecto, o el título de Grado equivalente, además de la formación pedagógica y didáctica de nivel de Postgrado, de acuerdo con lo dispuesto en el artículo 100 de la presente Ley, sin perjuicio de la habilitación de otras titulaciones que, a efectos de docencia pudiera establecer el Gobierno para determinadas áreas, previa consulta a las Comunidades Autónomas.</w:t>
      </w:r>
    </w:p>
    <w:sectPr w:rsidR="00D72137" w:rsidRPr="006E7FB2" w:rsidSect="00D72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7FB2"/>
    <w:rsid w:val="00574979"/>
    <w:rsid w:val="006E7FB2"/>
    <w:rsid w:val="00D72137"/>
    <w:rsid w:val="00E73165"/>
    <w:rsid w:val="00F5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3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2</cp:revision>
  <dcterms:created xsi:type="dcterms:W3CDTF">2009-11-19T16:46:00Z</dcterms:created>
  <dcterms:modified xsi:type="dcterms:W3CDTF">2009-11-19T23:52:00Z</dcterms:modified>
</cp:coreProperties>
</file>