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44" w:rsidRPr="0008614C" w:rsidRDefault="00580B41" w:rsidP="00580B41">
      <w:pPr>
        <w:jc w:val="center"/>
        <w:rPr>
          <w:b/>
          <w:i/>
          <w:color w:val="002060"/>
          <w:sz w:val="40"/>
          <w:szCs w:val="40"/>
          <w:u w:val="single"/>
        </w:rPr>
      </w:pPr>
      <w:r w:rsidRPr="0008614C">
        <w:rPr>
          <w:b/>
          <w:i/>
          <w:color w:val="002060"/>
          <w:sz w:val="40"/>
          <w:szCs w:val="40"/>
          <w:u w:val="single"/>
        </w:rPr>
        <w:t>Le Ghiandole Endocrine</w:t>
      </w:r>
    </w:p>
    <w:p w:rsidR="00580B41" w:rsidRPr="0008614C" w:rsidRDefault="00580B41" w:rsidP="00580B41">
      <w:pPr>
        <w:rPr>
          <w:b/>
          <w:i/>
          <w:color w:val="000000" w:themeColor="text1"/>
          <w:sz w:val="28"/>
          <w:szCs w:val="28"/>
        </w:rPr>
      </w:pPr>
      <w:r w:rsidRPr="0008614C">
        <w:rPr>
          <w:b/>
          <w:i/>
          <w:sz w:val="28"/>
          <w:szCs w:val="28"/>
        </w:rPr>
        <w:t xml:space="preserve">Le </w:t>
      </w:r>
      <w:r w:rsidRPr="0008614C">
        <w:rPr>
          <w:b/>
          <w:i/>
          <w:color w:val="002060"/>
          <w:sz w:val="28"/>
          <w:szCs w:val="28"/>
        </w:rPr>
        <w:t xml:space="preserve">Ghiandole Endocrine </w:t>
      </w:r>
      <w:r w:rsidRPr="0008614C">
        <w:rPr>
          <w:b/>
          <w:i/>
          <w:sz w:val="28"/>
          <w:szCs w:val="28"/>
        </w:rPr>
        <w:t>sono diffuse in tutto l</w:t>
      </w:r>
      <w:r w:rsidR="0008614C" w:rsidRPr="0008614C">
        <w:rPr>
          <w:b/>
          <w:i/>
          <w:sz w:val="28"/>
          <w:szCs w:val="28"/>
        </w:rPr>
        <w:t>’ organismo</w:t>
      </w:r>
      <w:r w:rsidRPr="0008614C">
        <w:rPr>
          <w:b/>
          <w:i/>
          <w:sz w:val="28"/>
          <w:szCs w:val="28"/>
        </w:rPr>
        <w:t xml:space="preserve"> </w:t>
      </w:r>
      <w:r w:rsidR="0008614C">
        <w:rPr>
          <w:b/>
          <w:i/>
          <w:sz w:val="28"/>
          <w:szCs w:val="28"/>
        </w:rPr>
        <w:t xml:space="preserve">,appartengono ad apparati diversi e non hanno continuità fisica tra di loro. Esse hanno la caratteristica comune di secernere gli </w:t>
      </w:r>
      <w:r w:rsidR="0008614C">
        <w:rPr>
          <w:b/>
          <w:i/>
          <w:color w:val="002060"/>
          <w:sz w:val="28"/>
          <w:szCs w:val="28"/>
        </w:rPr>
        <w:t>ormoni</w:t>
      </w:r>
      <w:r w:rsidR="0008614C">
        <w:rPr>
          <w:b/>
          <w:i/>
          <w:color w:val="000000" w:themeColor="text1"/>
          <w:sz w:val="28"/>
          <w:szCs w:val="28"/>
        </w:rPr>
        <w:t>, veri e propri messaggeri chimici che,trasportati dal sangue raggiungono organi specifici (</w:t>
      </w:r>
      <w:r w:rsidR="0008614C" w:rsidRPr="0008614C">
        <w:rPr>
          <w:b/>
          <w:i/>
          <w:color w:val="002060"/>
          <w:sz w:val="28"/>
          <w:szCs w:val="28"/>
        </w:rPr>
        <w:t>organi bersaglio</w:t>
      </w:r>
      <w:r w:rsidR="0008614C">
        <w:rPr>
          <w:b/>
          <w:i/>
          <w:color w:val="000000" w:themeColor="text1"/>
          <w:sz w:val="28"/>
          <w:szCs w:val="28"/>
        </w:rPr>
        <w:t>) e ne influenzano  l’ attività.</w:t>
      </w:r>
    </w:p>
    <w:sectPr w:rsidR="00580B41" w:rsidRPr="0008614C" w:rsidSect="000D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580B41"/>
    <w:rsid w:val="0008614C"/>
    <w:rsid w:val="000D1244"/>
    <w:rsid w:val="0058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2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2015-10-02T16:32:00Z</dcterms:created>
  <dcterms:modified xsi:type="dcterms:W3CDTF">2015-10-02T16:51:00Z</dcterms:modified>
</cp:coreProperties>
</file>