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5" w:rsidRDefault="007C38C7" w:rsidP="007C38C7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7">
        <w:rPr>
          <w:rFonts w:ascii="Times New Roman" w:hAnsi="Times New Roman" w:cs="Times New Roman"/>
          <w:sz w:val="24"/>
          <w:szCs w:val="24"/>
        </w:rPr>
        <w:t xml:space="preserve">Entidad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 xml:space="preserve">es una </w:t>
      </w:r>
      <w:r w:rsidRPr="007C38C7">
        <w:rPr>
          <w:rFonts w:ascii="Times New Roman" w:hAnsi="Times New Roman" w:cs="Times New Roman"/>
          <w:iCs/>
          <w:color w:val="262626"/>
          <w:sz w:val="24"/>
          <w:szCs w:val="24"/>
        </w:rPr>
        <w:t>co</w:t>
      </w:r>
      <w:r w:rsidRPr="007C38C7">
        <w:rPr>
          <w:rFonts w:ascii="Times New Roman" w:hAnsi="Times New Roman" w:cs="Times New Roman"/>
          <w:iCs/>
          <w:color w:val="414140"/>
          <w:sz w:val="24"/>
          <w:szCs w:val="24"/>
        </w:rPr>
        <w:t>s</w:t>
      </w:r>
      <w:r w:rsidRPr="007C38C7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a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del mundo real con una existencia independiente. Una entidad puede s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 xml:space="preserve">er un objeto con una existencia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física (por ejemplo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 xml:space="preserve">,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una per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>s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ona en particular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 xml:space="preserve">,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un coche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 xml:space="preserve">,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una casa o un empl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 xml:space="preserve">eado) o puede ser un objeto con </w:t>
      </w:r>
      <w:r w:rsidRPr="007C38C7">
        <w:rPr>
          <w:rFonts w:ascii="Times New Roman" w:hAnsi="Times New Roman" w:cs="Times New Roman"/>
          <w:color w:val="000000"/>
          <w:sz w:val="24"/>
          <w:szCs w:val="24"/>
        </w:rPr>
        <w:t>una existencia conceptual (por ejemplo, una empresa, un trabajo o un curso universitario).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7763286"/>
          <w:citation/>
        </w:sdtPr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Elm07 \p 55 \l 2058 </w:instrTex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 xml:space="preserve"> </w:t>
          </w:r>
          <w:r w:rsidRPr="007C38C7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(Elmasri &amp; Navathe, 2007, pág. 55)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C38C7" w:rsidRPr="007C38C7" w:rsidRDefault="007C38C7" w:rsidP="007C38C7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38C7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7C38C7" w:rsidRPr="007C38C7" w:rsidRDefault="007C38C7" w:rsidP="007C38C7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C38C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C38C7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C38C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C38C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7C38C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 w:rsidRPr="007C38C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Addison Wesley.</w:t>
              </w:r>
            </w:p>
            <w:p w:rsidR="007C38C7" w:rsidRDefault="007C38C7" w:rsidP="007C38C7">
              <w:pPr>
                <w:spacing w:after="20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C38C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C38C7" w:rsidRP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sectPr w:rsidR="007C38C7" w:rsidRPr="007C38C7" w:rsidSect="007C3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7"/>
    <w:rsid w:val="001A5817"/>
    <w:rsid w:val="00462AF5"/>
    <w:rsid w:val="007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844E"/>
  <w15:chartTrackingRefBased/>
  <w15:docId w15:val="{A569A74A-F515-4432-9329-8ECFB71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38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38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C38C7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E1B6BFF-DF9E-43A6-86E6-15D78703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Amauri</cp:lastModifiedBy>
  <cp:revision>2</cp:revision>
  <dcterms:created xsi:type="dcterms:W3CDTF">2017-02-22T05:05:00Z</dcterms:created>
  <dcterms:modified xsi:type="dcterms:W3CDTF">2017-02-22T05:10:00Z</dcterms:modified>
</cp:coreProperties>
</file>