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P</w:t>
      </w:r>
      <w:r w:rsidDel="00000000" w:rsidR="00000000" w:rsidRPr="00000000">
        <w:rPr>
          <w:rFonts w:ascii="Arial" w:cs="Arial" w:eastAsia="Arial" w:hAnsi="Arial"/>
          <w:b w:val="1"/>
          <w:sz w:val="24"/>
          <w:szCs w:val="24"/>
          <w:rtl w:val="0"/>
        </w:rPr>
        <w:t xml:space="preserve">LANTEAMIENTO: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 cómo podemos saber si la población más frágil está siendo abusada, si no tienen las estrategias comunicativas, los niños actualmente están en grave peligro, el peligro de los adultos que no conciben que el cuerpo humano toma tiempo para desarrollarse, y que los derechos de cualquier persona sea niño o adulto deben ser respetados.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El abuso sexual en niños.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 En el mundo el abuso sexual especialmente el abuso infantil ha demostrado un gran crecimiento, a tal punto de que las naciones unidas generan protocolos de protección, con el propósito de disminuir el acto de abuso, así como dice en el texto abusos secuales de la infancia: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4"/>
          <w:szCs w:val="24"/>
          <w:rtl w:val="0"/>
        </w:rPr>
        <w:t xml:space="preserve">“Existe hoy una preocupación generalizada por los ataques sexuales de que pueden ser objeto los menores de edad, en absoluto infundada si nos atenemos a los datos proporcionados por algunos estudios, como el de López Sánchez (1995), en el que se indica que en España, aproximadamente, el 23 por 100 de las mujeres y el 15 por 100 de los hombres han sido víctimas de alguna clase de abuso durante su minoridad; y a las informaciones cotidianas sobre agresiones a menores, prostitución.” Abusos sexuales de la infancia cap 1 pag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¿Por qué aspectos se compone el abuso sexual?:</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De igual manera el abuso sexual no solo se refiere al acto de la penetración sin consentimiento, sino también a actos relacionados con el cuerpo humano, generando acoso y actitudes:</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a continuación veremos por que acciones se constituye el abuso sexual, tomado de el capitulo 1  del texto abusos sexuales en la infancia1: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4"/>
          <w:szCs w:val="24"/>
          <w:rtl w:val="0"/>
        </w:rPr>
        <w:t xml:space="preserve">“— agresiones sexuales, caracterizadas por el empleo de violencia</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4"/>
          <w:szCs w:val="24"/>
          <w:rtl w:val="0"/>
        </w:rPr>
        <w:t xml:space="preserve">o de intimidación;</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4"/>
          <w:szCs w:val="24"/>
          <w:rtl w:val="0"/>
        </w:rPr>
        <w:t xml:space="preserve">— abusos sexuales, caracterizados porque la víctima no consiente</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4"/>
          <w:szCs w:val="24"/>
          <w:rtl w:val="0"/>
        </w:rPr>
        <w:t xml:space="preserve">o no consiente válidamente la relación, por ser menor de</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4"/>
          <w:szCs w:val="24"/>
          <w:rtl w:val="0"/>
        </w:rPr>
        <w:t xml:space="preserve">trece años, estar privada de sentido, padecer un trastorno mental;</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4"/>
          <w:szCs w:val="24"/>
          <w:rtl w:val="0"/>
        </w:rPr>
        <w:t xml:space="preserve">o porque el sujeto activo se prevale de una situación de</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4"/>
          <w:szCs w:val="24"/>
          <w:rtl w:val="0"/>
        </w:rPr>
        <w:t xml:space="preserve">superioridad o de engaño;</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4"/>
          <w:szCs w:val="24"/>
          <w:rtl w:val="0"/>
        </w:rPr>
        <w:t xml:space="preserve">— acoso sexual, consistente en solicitar favores sexuales de</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4"/>
          <w:szCs w:val="24"/>
          <w:rtl w:val="0"/>
        </w:rPr>
        <w:t xml:space="preserve">otra persona, en el ámbito de una relación laboral, docente o de</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4"/>
          <w:szCs w:val="24"/>
          <w:rtl w:val="0"/>
        </w:rPr>
        <w:t xml:space="preserve">servicios, provocando una situación objetiva y gravemente intimidatoria,</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4"/>
          <w:szCs w:val="24"/>
          <w:rtl w:val="0"/>
        </w:rPr>
        <w:t xml:space="preserve">hostil o humillante para la víctima, haya o no, por</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4"/>
          <w:szCs w:val="24"/>
          <w:rtl w:val="0"/>
        </w:rPr>
        <w:t xml:space="preserve">parte del autor, prevalimiento de una posición de superioridad o</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4"/>
          <w:szCs w:val="24"/>
          <w:rtl w:val="0"/>
        </w:rPr>
        <w:t xml:space="preserve">la amenaza de causarle un mal en sus legítimas expectativas dentro</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4"/>
          <w:szCs w:val="24"/>
          <w:rtl w:val="0"/>
        </w:rPr>
        <w:t xml:space="preserve">del marco de la relación que les liga;</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4"/>
          <w:szCs w:val="24"/>
          <w:rtl w:val="0"/>
        </w:rPr>
        <w:t xml:space="preserve">— exhibicionismo y provocación sexual;</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4"/>
          <w:szCs w:val="24"/>
          <w:rtl w:val="0"/>
        </w:rPr>
        <w:t xml:space="preserve">— delitos relativos a la prostitución”</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4"/>
          <w:szCs w:val="24"/>
          <w:rtl w:val="0"/>
        </w:rPr>
        <w:t xml:space="preserve"> Abusos sexuales en la infancia capitulo uno: pag: 18</w:t>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sectPr>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