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2C" w:rsidRDefault="00516B2C">
      <w:pPr>
        <w:rPr>
          <w:rFonts w:ascii="Arial" w:hAnsi="Arial" w:cs="Arial"/>
          <w:color w:val="252525"/>
          <w:sz w:val="21"/>
          <w:szCs w:val="21"/>
          <w:shd w:val="clear" w:color="auto" w:fill="FFFFFF"/>
        </w:rPr>
      </w:pPr>
      <w:r>
        <w:rPr>
          <w:rFonts w:ascii="Arial" w:hAnsi="Arial" w:cs="Arial"/>
          <w:color w:val="252525"/>
          <w:sz w:val="21"/>
          <w:szCs w:val="21"/>
          <w:shd w:val="clear" w:color="auto" w:fill="FFFFFF"/>
        </w:rPr>
        <w:t>PREGUNTA 1</w:t>
      </w:r>
    </w:p>
    <w:p w:rsidR="001F3CE4" w:rsidRDefault="00516B2C">
      <w:pPr>
        <w:rPr>
          <w:rFonts w:ascii="Arial" w:hAnsi="Arial" w:cs="Arial"/>
          <w:color w:val="252525"/>
          <w:sz w:val="21"/>
          <w:szCs w:val="21"/>
          <w:shd w:val="clear" w:color="auto" w:fill="FFFFFF"/>
        </w:rPr>
      </w:pP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tinción de Gram</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coloración de Gram</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 tipo de</w:t>
      </w:r>
      <w:r>
        <w:rPr>
          <w:rStyle w:val="apple-converted-space"/>
          <w:rFonts w:ascii="Arial" w:hAnsi="Arial" w:cs="Arial"/>
          <w:color w:val="252525"/>
          <w:sz w:val="21"/>
          <w:szCs w:val="21"/>
          <w:shd w:val="clear" w:color="auto" w:fill="FFFFFF"/>
        </w:rPr>
        <w:t> </w:t>
      </w:r>
      <w:hyperlink r:id="rId5" w:tooltip="Tinción diferencial" w:history="1">
        <w:r>
          <w:rPr>
            <w:rStyle w:val="Hipervnculo"/>
            <w:rFonts w:ascii="Arial" w:hAnsi="Arial" w:cs="Arial"/>
            <w:color w:val="0B0080"/>
            <w:sz w:val="21"/>
            <w:szCs w:val="21"/>
            <w:u w:val="none"/>
            <w:shd w:val="clear" w:color="auto" w:fill="FFFFFF"/>
          </w:rPr>
          <w:t>tinción diferencial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empleado en</w:t>
      </w:r>
      <w:r>
        <w:rPr>
          <w:rStyle w:val="apple-converted-space"/>
          <w:rFonts w:ascii="Arial" w:hAnsi="Arial" w:cs="Arial"/>
          <w:color w:val="252525"/>
          <w:sz w:val="21"/>
          <w:szCs w:val="21"/>
          <w:shd w:val="clear" w:color="auto" w:fill="FFFFFF"/>
        </w:rPr>
        <w:t> </w:t>
      </w:r>
      <w:hyperlink r:id="rId6" w:tooltip="Bacteriología" w:history="1">
        <w:r>
          <w:rPr>
            <w:rStyle w:val="Hipervnculo"/>
            <w:rFonts w:ascii="Arial" w:hAnsi="Arial" w:cs="Arial"/>
            <w:color w:val="0B0080"/>
            <w:sz w:val="21"/>
            <w:szCs w:val="21"/>
            <w:u w:val="none"/>
            <w:shd w:val="clear" w:color="auto" w:fill="FFFFFF"/>
          </w:rPr>
          <w:t>bacteriología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para la visualización </w:t>
      </w:r>
      <w:proofErr w:type="spellStart"/>
      <w:r>
        <w:rPr>
          <w:rFonts w:ascii="Arial" w:hAnsi="Arial" w:cs="Arial"/>
          <w:color w:val="252525"/>
          <w:sz w:val="21"/>
          <w:szCs w:val="21"/>
          <w:shd w:val="clear" w:color="auto" w:fill="FFFFFF"/>
        </w:rPr>
        <w:t>de</w:t>
      </w:r>
      <w:hyperlink r:id="rId7" w:tooltip="Bacteria" w:history="1">
        <w:r>
          <w:rPr>
            <w:rStyle w:val="Hipervnculo"/>
            <w:rFonts w:ascii="Arial" w:hAnsi="Arial" w:cs="Arial"/>
            <w:color w:val="0B0080"/>
            <w:sz w:val="21"/>
            <w:szCs w:val="21"/>
            <w:u w:val="none"/>
            <w:shd w:val="clear" w:color="auto" w:fill="FFFFFF"/>
          </w:rPr>
          <w:t>bacterias</w:t>
        </w:r>
        <w:proofErr w:type="spellEnd"/>
      </w:hyperlink>
      <w:r>
        <w:rPr>
          <w:rFonts w:ascii="Arial" w:hAnsi="Arial" w:cs="Arial"/>
          <w:color w:val="252525"/>
          <w:sz w:val="21"/>
          <w:szCs w:val="21"/>
          <w:shd w:val="clear" w:color="auto" w:fill="FFFFFF"/>
        </w:rPr>
        <w:t>, sobre todo en muestras clínicas. Debe su nombre al bacteriólogo</w:t>
      </w:r>
      <w:r>
        <w:rPr>
          <w:rStyle w:val="apple-converted-space"/>
          <w:rFonts w:ascii="Arial" w:hAnsi="Arial" w:cs="Arial"/>
          <w:color w:val="252525"/>
          <w:sz w:val="21"/>
          <w:szCs w:val="21"/>
          <w:shd w:val="clear" w:color="auto" w:fill="FFFFFF"/>
        </w:rPr>
        <w:t> </w:t>
      </w:r>
      <w:hyperlink r:id="rId8" w:tooltip="Dinamarca" w:history="1">
        <w:r>
          <w:rPr>
            <w:rStyle w:val="Hipervnculo"/>
            <w:rFonts w:ascii="Arial" w:hAnsi="Arial" w:cs="Arial"/>
            <w:color w:val="0B0080"/>
            <w:sz w:val="21"/>
            <w:szCs w:val="21"/>
            <w:u w:val="none"/>
            <w:shd w:val="clear" w:color="auto" w:fill="FFFFFF"/>
          </w:rPr>
          <w:t>danés</w:t>
        </w:r>
      </w:hyperlink>
      <w:r>
        <w:rPr>
          <w:rStyle w:val="apple-converted-space"/>
          <w:rFonts w:ascii="Arial" w:hAnsi="Arial" w:cs="Arial"/>
          <w:color w:val="252525"/>
          <w:sz w:val="21"/>
          <w:szCs w:val="21"/>
          <w:shd w:val="clear" w:color="auto" w:fill="FFFFFF"/>
        </w:rPr>
        <w:t> </w:t>
      </w:r>
      <w:hyperlink r:id="rId9" w:tooltip="Christian Gram" w:history="1">
        <w:r>
          <w:rPr>
            <w:rStyle w:val="Hipervnculo"/>
            <w:rFonts w:ascii="Arial" w:hAnsi="Arial" w:cs="Arial"/>
            <w:color w:val="0B0080"/>
            <w:sz w:val="21"/>
            <w:szCs w:val="21"/>
            <w:u w:val="none"/>
            <w:shd w:val="clear" w:color="auto" w:fill="FFFFFF"/>
          </w:rPr>
          <w:t>Christian Gram</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(1853-1938), que desarrolló la técnica en 1884. Se utiliza tanto para poder referirse a la morfología celular bacteriana, como para poder realizar una primera aproximación a la diferenciación bacteriana, considerándose</w:t>
      </w:r>
      <w:r>
        <w:rPr>
          <w:rStyle w:val="apple-converted-space"/>
          <w:rFonts w:ascii="Arial" w:hAnsi="Arial" w:cs="Arial"/>
          <w:color w:val="252525"/>
          <w:sz w:val="21"/>
          <w:szCs w:val="21"/>
          <w:shd w:val="clear" w:color="auto" w:fill="FFFFFF"/>
        </w:rPr>
        <w:t> </w:t>
      </w:r>
      <w:hyperlink r:id="rId10" w:tooltip="Bacteria Gram positiva" w:history="1">
        <w:r>
          <w:rPr>
            <w:rStyle w:val="Hipervnculo"/>
            <w:rFonts w:ascii="Arial" w:hAnsi="Arial" w:cs="Arial"/>
            <w:color w:val="0B0080"/>
            <w:sz w:val="21"/>
            <w:szCs w:val="21"/>
            <w:u w:val="none"/>
            <w:shd w:val="clear" w:color="auto" w:fill="FFFFFF"/>
          </w:rPr>
          <w:t xml:space="preserve">bacterias </w:t>
        </w:r>
        <w:proofErr w:type="spellStart"/>
        <w:r>
          <w:rPr>
            <w:rStyle w:val="Hipervnculo"/>
            <w:rFonts w:ascii="Arial" w:hAnsi="Arial" w:cs="Arial"/>
            <w:color w:val="0B0080"/>
            <w:sz w:val="21"/>
            <w:szCs w:val="21"/>
            <w:u w:val="none"/>
            <w:shd w:val="clear" w:color="auto" w:fill="FFFFFF"/>
          </w:rPr>
          <w:t>gram</w:t>
        </w:r>
        <w:proofErr w:type="spellEnd"/>
        <w:r>
          <w:rPr>
            <w:rStyle w:val="Hipervnculo"/>
            <w:rFonts w:ascii="Arial" w:hAnsi="Arial" w:cs="Arial"/>
            <w:color w:val="0B0080"/>
            <w:sz w:val="21"/>
            <w:szCs w:val="21"/>
            <w:u w:val="none"/>
            <w:shd w:val="clear" w:color="auto" w:fill="FFFFFF"/>
          </w:rPr>
          <w:t xml:space="preserve"> positivas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a las que se visualizan de color morado, </w:t>
      </w:r>
      <w:proofErr w:type="spellStart"/>
      <w:r>
        <w:rPr>
          <w:rFonts w:ascii="Arial" w:hAnsi="Arial" w:cs="Arial"/>
          <w:color w:val="252525"/>
          <w:sz w:val="21"/>
          <w:szCs w:val="21"/>
          <w:shd w:val="clear" w:color="auto" w:fill="FFFFFF"/>
        </w:rPr>
        <w:t>y</w:t>
      </w:r>
      <w:hyperlink r:id="rId11" w:tooltip="Bacteria Gram negativa" w:history="1">
        <w:r>
          <w:rPr>
            <w:rStyle w:val="Hipervnculo"/>
            <w:rFonts w:ascii="Arial" w:hAnsi="Arial" w:cs="Arial"/>
            <w:color w:val="0B0080"/>
            <w:sz w:val="21"/>
            <w:szCs w:val="21"/>
            <w:u w:val="none"/>
            <w:shd w:val="clear" w:color="auto" w:fill="FFFFFF"/>
          </w:rPr>
          <w:t>bacterias</w:t>
        </w:r>
        <w:proofErr w:type="spellEnd"/>
        <w:r>
          <w:rPr>
            <w:rStyle w:val="Hipervnculo"/>
            <w:rFonts w:ascii="Arial" w:hAnsi="Arial" w:cs="Arial"/>
            <w:color w:val="0B0080"/>
            <w:sz w:val="21"/>
            <w:szCs w:val="21"/>
            <w:u w:val="none"/>
            <w:shd w:val="clear" w:color="auto" w:fill="FFFFFF"/>
          </w:rPr>
          <w:t xml:space="preserve"> </w:t>
        </w:r>
        <w:proofErr w:type="spellStart"/>
        <w:r>
          <w:rPr>
            <w:rStyle w:val="Hipervnculo"/>
            <w:rFonts w:ascii="Arial" w:hAnsi="Arial" w:cs="Arial"/>
            <w:color w:val="0B0080"/>
            <w:sz w:val="21"/>
            <w:szCs w:val="21"/>
            <w:u w:val="none"/>
            <w:shd w:val="clear" w:color="auto" w:fill="FFFFFF"/>
          </w:rPr>
          <w:t>gram</w:t>
        </w:r>
        <w:proofErr w:type="spellEnd"/>
        <w:r>
          <w:rPr>
            <w:rStyle w:val="Hipervnculo"/>
            <w:rFonts w:ascii="Arial" w:hAnsi="Arial" w:cs="Arial"/>
            <w:color w:val="0B0080"/>
            <w:sz w:val="21"/>
            <w:szCs w:val="21"/>
            <w:u w:val="none"/>
            <w:shd w:val="clear" w:color="auto" w:fill="FFFFFF"/>
          </w:rPr>
          <w:t xml:space="preserve"> negativas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 las que se visualizan de color rosa, rojo o grosella.</w:t>
      </w:r>
    </w:p>
    <w:p w:rsidR="00516B2C" w:rsidRDefault="00516B2C">
      <w:pPr>
        <w:rPr>
          <w:rFonts w:ascii="Arial" w:hAnsi="Arial" w:cs="Arial"/>
          <w:color w:val="252525"/>
          <w:sz w:val="21"/>
          <w:szCs w:val="21"/>
          <w:shd w:val="clear" w:color="auto" w:fill="FFFFFF"/>
        </w:rPr>
      </w:pPr>
      <w:r>
        <w:rPr>
          <w:rFonts w:ascii="Arial" w:hAnsi="Arial" w:cs="Arial"/>
          <w:color w:val="252525"/>
          <w:sz w:val="21"/>
          <w:szCs w:val="21"/>
          <w:shd w:val="clear" w:color="auto" w:fill="FFFFFF"/>
        </w:rPr>
        <w:t>PREGUNTA DOS:</w:t>
      </w:r>
    </w:p>
    <w:p w:rsidR="00516B2C" w:rsidRDefault="00516B2C">
      <w:r w:rsidRPr="00516B2C">
        <w:t xml:space="preserve">Definimos </w:t>
      </w:r>
      <w:proofErr w:type="gramStart"/>
      <w:r w:rsidRPr="00516B2C">
        <w:t>al  metabolismo</w:t>
      </w:r>
      <w:proofErr w:type="gramEnd"/>
      <w:r w:rsidRPr="00516B2C">
        <w:t xml:space="preserve"> microbiano como el conjunto de procesos por los cuales un microorganismo obtiene la energía y los nutrientes (carbono, por ejemplo) que necesita para vivir y reproducirse. Los microorganismos utilizan numerosos tipos de estrategias metabólicas distintas y las especies pueden a menudo distinguirse en base a estas estrategias. Las características metabólicas específicas de un microorganismo constituyen el principal criterio para determinar su papel ecológico, su responsabilidad en los ciclos biogeoquímicos y su utilidad en los procesos industriales.</w:t>
      </w:r>
    </w:p>
    <w:p w:rsidR="00516B2C" w:rsidRPr="00516B2C" w:rsidRDefault="00516B2C" w:rsidP="00516B2C">
      <w:pPr>
        <w:shd w:val="clear" w:color="auto" w:fill="FFFFFF"/>
        <w:spacing w:after="0" w:line="293" w:lineRule="atLeast"/>
        <w:jc w:val="both"/>
        <w:rPr>
          <w:rFonts w:ascii="Arial" w:eastAsia="Times New Roman" w:hAnsi="Arial" w:cs="Arial"/>
          <w:color w:val="34434C"/>
          <w:sz w:val="20"/>
          <w:szCs w:val="20"/>
          <w:lang w:eastAsia="es-ES"/>
        </w:rPr>
      </w:pPr>
      <w:r w:rsidRPr="00516B2C">
        <w:rPr>
          <w:rFonts w:ascii="Arial" w:eastAsia="Times New Roman" w:hAnsi="Arial" w:cs="Arial"/>
          <w:b/>
          <w:bCs/>
          <w:color w:val="34434C"/>
          <w:sz w:val="20"/>
          <w:szCs w:val="20"/>
          <w:lang w:eastAsia="es-ES"/>
        </w:rPr>
        <w:t>Tipos de metabolismo</w:t>
      </w:r>
    </w:p>
    <w:p w:rsidR="00516B2C" w:rsidRPr="00516B2C" w:rsidRDefault="00516B2C" w:rsidP="00516B2C">
      <w:pPr>
        <w:shd w:val="clear" w:color="auto" w:fill="FFFFFF"/>
        <w:spacing w:after="0" w:line="293" w:lineRule="atLeast"/>
        <w:jc w:val="both"/>
        <w:rPr>
          <w:rFonts w:ascii="Arial" w:eastAsia="Times New Roman" w:hAnsi="Arial" w:cs="Arial"/>
          <w:color w:val="34434C"/>
          <w:sz w:val="20"/>
          <w:szCs w:val="20"/>
          <w:lang w:eastAsia="es-ES"/>
        </w:rPr>
      </w:pPr>
      <w:r w:rsidRPr="00516B2C">
        <w:rPr>
          <w:rFonts w:ascii="Arial" w:eastAsia="Times New Roman" w:hAnsi="Arial" w:cs="Arial"/>
          <w:color w:val="34434C"/>
          <w:sz w:val="20"/>
          <w:szCs w:val="20"/>
          <w:lang w:eastAsia="es-ES"/>
        </w:rPr>
        <w:br/>
        <w:t>Los distintos tipos de metabolismo microbiano se pueden clasificar según tres criterios distintos:</w:t>
      </w:r>
    </w:p>
    <w:p w:rsidR="00516B2C" w:rsidRPr="00516B2C" w:rsidRDefault="00516B2C" w:rsidP="00516B2C">
      <w:pPr>
        <w:shd w:val="clear" w:color="auto" w:fill="FFFFFF"/>
        <w:spacing w:after="0" w:line="293" w:lineRule="atLeast"/>
        <w:jc w:val="both"/>
        <w:rPr>
          <w:rFonts w:ascii="Arial" w:eastAsia="Times New Roman" w:hAnsi="Arial" w:cs="Arial"/>
          <w:color w:val="34434C"/>
          <w:sz w:val="20"/>
          <w:szCs w:val="20"/>
          <w:lang w:eastAsia="es-ES"/>
        </w:rPr>
      </w:pPr>
      <w:proofErr w:type="gramStart"/>
      <w:r w:rsidRPr="00516B2C">
        <w:rPr>
          <w:rFonts w:ascii="Arial" w:eastAsia="Times New Roman" w:hAnsi="Arial" w:cs="Arial"/>
          <w:color w:val="34434C"/>
          <w:sz w:val="20"/>
          <w:szCs w:val="20"/>
          <w:lang w:eastAsia="es-ES"/>
        </w:rPr>
        <w:t>1.según</w:t>
      </w:r>
      <w:proofErr w:type="gramEnd"/>
      <w:r w:rsidRPr="00516B2C">
        <w:rPr>
          <w:rFonts w:ascii="Arial" w:eastAsia="Times New Roman" w:hAnsi="Arial" w:cs="Arial"/>
          <w:color w:val="34434C"/>
          <w:sz w:val="20"/>
          <w:szCs w:val="20"/>
          <w:lang w:eastAsia="es-ES"/>
        </w:rPr>
        <w:t xml:space="preserve"> la forma en la que el organismo obtiene el carbono para la construcción de la masa celular:</w:t>
      </w:r>
    </w:p>
    <w:p w:rsidR="00516B2C" w:rsidRPr="00516B2C" w:rsidRDefault="00516B2C" w:rsidP="00516B2C">
      <w:pPr>
        <w:numPr>
          <w:ilvl w:val="0"/>
          <w:numId w:val="1"/>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t> Autótrofo. El carbono se obtiene del dióxido de carbono (CO2).</w:t>
      </w:r>
    </w:p>
    <w:p w:rsidR="00516B2C" w:rsidRPr="00516B2C" w:rsidRDefault="00516B2C" w:rsidP="00516B2C">
      <w:pPr>
        <w:numPr>
          <w:ilvl w:val="0"/>
          <w:numId w:val="1"/>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t> Heterótrofo. El carbono se obtiene de compuestos orgánicos (glucosa, por ejemplo).</w:t>
      </w:r>
    </w:p>
    <w:p w:rsidR="00516B2C" w:rsidRPr="00516B2C" w:rsidRDefault="00516B2C" w:rsidP="00516B2C">
      <w:pPr>
        <w:shd w:val="clear" w:color="auto" w:fill="FFFFFF"/>
        <w:spacing w:after="0" w:line="293" w:lineRule="atLeast"/>
        <w:jc w:val="both"/>
        <w:rPr>
          <w:rFonts w:ascii="Arial" w:eastAsia="Times New Roman" w:hAnsi="Arial" w:cs="Arial"/>
          <w:color w:val="34434C"/>
          <w:sz w:val="20"/>
          <w:szCs w:val="20"/>
          <w:lang w:eastAsia="es-ES"/>
        </w:rPr>
      </w:pPr>
      <w:r w:rsidRPr="00516B2C">
        <w:rPr>
          <w:rFonts w:ascii="Arial" w:eastAsia="Times New Roman" w:hAnsi="Arial" w:cs="Arial"/>
          <w:color w:val="34434C"/>
          <w:sz w:val="20"/>
          <w:szCs w:val="20"/>
          <w:lang w:eastAsia="es-ES"/>
        </w:rPr>
        <w:t xml:space="preserve">2. según la forma en la que el organismo obtiene los equivalentes reductores para la conservación de la energía o en las reacciones </w:t>
      </w:r>
      <w:proofErr w:type="spellStart"/>
      <w:r w:rsidRPr="00516B2C">
        <w:rPr>
          <w:rFonts w:ascii="Arial" w:eastAsia="Times New Roman" w:hAnsi="Arial" w:cs="Arial"/>
          <w:color w:val="34434C"/>
          <w:sz w:val="20"/>
          <w:szCs w:val="20"/>
          <w:lang w:eastAsia="es-ES"/>
        </w:rPr>
        <w:t>biosintéticas</w:t>
      </w:r>
      <w:proofErr w:type="spellEnd"/>
      <w:r w:rsidRPr="00516B2C">
        <w:rPr>
          <w:rFonts w:ascii="Arial" w:eastAsia="Times New Roman" w:hAnsi="Arial" w:cs="Arial"/>
          <w:color w:val="34434C"/>
          <w:sz w:val="20"/>
          <w:szCs w:val="20"/>
          <w:lang w:eastAsia="es-ES"/>
        </w:rPr>
        <w:t>:</w:t>
      </w:r>
    </w:p>
    <w:p w:rsidR="00516B2C" w:rsidRPr="00516B2C" w:rsidRDefault="00516B2C" w:rsidP="00516B2C">
      <w:pPr>
        <w:numPr>
          <w:ilvl w:val="0"/>
          <w:numId w:val="2"/>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t> </w:t>
      </w:r>
      <w:proofErr w:type="spellStart"/>
      <w:r w:rsidRPr="00516B2C">
        <w:rPr>
          <w:rFonts w:ascii="Arial" w:eastAsia="Times New Roman" w:hAnsi="Arial" w:cs="Arial"/>
          <w:color w:val="111518"/>
          <w:sz w:val="20"/>
          <w:szCs w:val="20"/>
          <w:lang w:eastAsia="es-ES"/>
        </w:rPr>
        <w:t>Litotrofo</w:t>
      </w:r>
      <w:proofErr w:type="spellEnd"/>
      <w:r w:rsidRPr="00516B2C">
        <w:rPr>
          <w:rFonts w:ascii="Arial" w:eastAsia="Times New Roman" w:hAnsi="Arial" w:cs="Arial"/>
          <w:color w:val="111518"/>
          <w:sz w:val="20"/>
          <w:szCs w:val="20"/>
          <w:lang w:eastAsia="es-ES"/>
        </w:rPr>
        <w:t>. Los equivalentes reductores se obtienen de compuestos inorgánicos.</w:t>
      </w:r>
    </w:p>
    <w:p w:rsidR="00516B2C" w:rsidRPr="00516B2C" w:rsidRDefault="00516B2C" w:rsidP="00516B2C">
      <w:pPr>
        <w:numPr>
          <w:ilvl w:val="0"/>
          <w:numId w:val="2"/>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t> </w:t>
      </w:r>
      <w:proofErr w:type="spellStart"/>
      <w:r w:rsidRPr="00516B2C">
        <w:rPr>
          <w:rFonts w:ascii="Arial" w:eastAsia="Times New Roman" w:hAnsi="Arial" w:cs="Arial"/>
          <w:color w:val="111518"/>
          <w:sz w:val="20"/>
          <w:szCs w:val="20"/>
          <w:lang w:eastAsia="es-ES"/>
        </w:rPr>
        <w:t>Organotrofo</w:t>
      </w:r>
      <w:proofErr w:type="spellEnd"/>
      <w:r w:rsidRPr="00516B2C">
        <w:rPr>
          <w:rFonts w:ascii="Arial" w:eastAsia="Times New Roman" w:hAnsi="Arial" w:cs="Arial"/>
          <w:color w:val="111518"/>
          <w:sz w:val="20"/>
          <w:szCs w:val="20"/>
          <w:lang w:eastAsia="es-ES"/>
        </w:rPr>
        <w:t>. Los equivalentes reductores se obtienen de compuestos orgánicos.</w:t>
      </w:r>
    </w:p>
    <w:p w:rsidR="00516B2C" w:rsidRPr="00516B2C" w:rsidRDefault="00516B2C" w:rsidP="00516B2C">
      <w:pPr>
        <w:shd w:val="clear" w:color="auto" w:fill="FFFFFF"/>
        <w:spacing w:after="0" w:line="293" w:lineRule="atLeast"/>
        <w:jc w:val="both"/>
        <w:rPr>
          <w:rFonts w:ascii="Arial" w:eastAsia="Times New Roman" w:hAnsi="Arial" w:cs="Arial"/>
          <w:color w:val="34434C"/>
          <w:sz w:val="20"/>
          <w:szCs w:val="20"/>
          <w:lang w:eastAsia="es-ES"/>
        </w:rPr>
      </w:pPr>
      <w:r w:rsidRPr="00516B2C">
        <w:rPr>
          <w:rFonts w:ascii="Arial" w:eastAsia="Times New Roman" w:hAnsi="Arial" w:cs="Arial"/>
          <w:color w:val="34434C"/>
          <w:sz w:val="20"/>
          <w:szCs w:val="20"/>
          <w:lang w:eastAsia="es-ES"/>
        </w:rPr>
        <w:t>3. según la forma en la que el organismo obtiene la energía para vivir y crecer:</w:t>
      </w:r>
    </w:p>
    <w:p w:rsidR="00516B2C" w:rsidRPr="00516B2C" w:rsidRDefault="00516B2C" w:rsidP="00516B2C">
      <w:pPr>
        <w:numPr>
          <w:ilvl w:val="0"/>
          <w:numId w:val="3"/>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t> </w:t>
      </w:r>
      <w:proofErr w:type="spellStart"/>
      <w:r w:rsidRPr="00516B2C">
        <w:rPr>
          <w:rFonts w:ascii="Arial" w:eastAsia="Times New Roman" w:hAnsi="Arial" w:cs="Arial"/>
          <w:color w:val="111518"/>
          <w:sz w:val="20"/>
          <w:szCs w:val="20"/>
          <w:lang w:eastAsia="es-ES"/>
        </w:rPr>
        <w:t>Quimiotrofo</w:t>
      </w:r>
      <w:proofErr w:type="spellEnd"/>
      <w:r w:rsidRPr="00516B2C">
        <w:rPr>
          <w:rFonts w:ascii="Arial" w:eastAsia="Times New Roman" w:hAnsi="Arial" w:cs="Arial"/>
          <w:color w:val="111518"/>
          <w:sz w:val="20"/>
          <w:szCs w:val="20"/>
          <w:lang w:eastAsia="es-ES"/>
        </w:rPr>
        <w:t>. La energía se obtiene de compuestos químicos externos.</w:t>
      </w:r>
    </w:p>
    <w:p w:rsidR="00516B2C" w:rsidRPr="00516B2C" w:rsidRDefault="00516B2C" w:rsidP="00516B2C">
      <w:pPr>
        <w:numPr>
          <w:ilvl w:val="0"/>
          <w:numId w:val="3"/>
        </w:numPr>
        <w:shd w:val="clear" w:color="auto" w:fill="FFFFFF"/>
        <w:spacing w:before="45" w:after="0" w:line="293" w:lineRule="atLeast"/>
        <w:ind w:left="165"/>
        <w:jc w:val="both"/>
        <w:rPr>
          <w:rFonts w:ascii="Arial" w:eastAsia="Times New Roman" w:hAnsi="Arial" w:cs="Arial"/>
          <w:color w:val="111518"/>
          <w:sz w:val="20"/>
          <w:szCs w:val="20"/>
          <w:lang w:eastAsia="es-ES"/>
        </w:rPr>
      </w:pPr>
      <w:r w:rsidRPr="00516B2C">
        <w:rPr>
          <w:rFonts w:ascii="Arial" w:eastAsia="Times New Roman" w:hAnsi="Arial" w:cs="Arial"/>
          <w:color w:val="111518"/>
          <w:sz w:val="20"/>
          <w:szCs w:val="20"/>
          <w:lang w:eastAsia="es-ES"/>
        </w:rPr>
        <w:lastRenderedPageBreak/>
        <w:t> </w:t>
      </w:r>
      <w:proofErr w:type="spellStart"/>
      <w:r w:rsidRPr="00516B2C">
        <w:rPr>
          <w:rFonts w:ascii="Arial" w:eastAsia="Times New Roman" w:hAnsi="Arial" w:cs="Arial"/>
          <w:color w:val="111518"/>
          <w:sz w:val="20"/>
          <w:szCs w:val="20"/>
          <w:lang w:eastAsia="es-ES"/>
        </w:rPr>
        <w:t>Fototrofo</w:t>
      </w:r>
      <w:proofErr w:type="spellEnd"/>
      <w:r w:rsidRPr="00516B2C">
        <w:rPr>
          <w:rFonts w:ascii="Arial" w:eastAsia="Times New Roman" w:hAnsi="Arial" w:cs="Arial"/>
          <w:color w:val="111518"/>
          <w:sz w:val="20"/>
          <w:szCs w:val="20"/>
          <w:lang w:eastAsia="es-ES"/>
        </w:rPr>
        <w:t>. La energía se obtiene de la luz</w:t>
      </w:r>
    </w:p>
    <w:p w:rsidR="00516B2C" w:rsidRDefault="00516B2C"/>
    <w:p w:rsidR="00516B2C" w:rsidRDefault="00516B2C">
      <w:r>
        <w:t>PREGUNTA 3</w:t>
      </w:r>
    </w:p>
    <w:p w:rsidR="00516B2C" w:rsidRDefault="00663C7E">
      <w:pPr>
        <w:rPr>
          <w:rFonts w:ascii="Arial" w:hAnsi="Arial" w:cs="Arial"/>
          <w:color w:val="444444"/>
          <w:sz w:val="21"/>
          <w:szCs w:val="21"/>
          <w:shd w:val="clear" w:color="auto" w:fill="FFFFFF"/>
        </w:rPr>
      </w:pPr>
      <w:r>
        <w:rPr>
          <w:rFonts w:ascii="Arial" w:hAnsi="Arial" w:cs="Arial"/>
          <w:color w:val="444444"/>
          <w:sz w:val="21"/>
          <w:szCs w:val="21"/>
          <w:shd w:val="clear" w:color="auto" w:fill="FFFFFF"/>
        </w:rPr>
        <w:t>La prueba cutánea de PPD, sigla en inglés de derivado proteico purificado, es un método utilizado para el diagnóstico de la infección de </w:t>
      </w:r>
      <w:hyperlink r:id="rId12" w:history="1">
        <w:proofErr w:type="gramStart"/>
        <w:r>
          <w:rPr>
            <w:rStyle w:val="Hipervnculo"/>
            <w:rFonts w:ascii="Arial" w:hAnsi="Arial" w:cs="Arial"/>
            <w:color w:val="A54B13"/>
            <w:sz w:val="21"/>
            <w:szCs w:val="21"/>
            <w:bdr w:val="none" w:sz="0" w:space="0" w:color="auto" w:frame="1"/>
            <w:shd w:val="clear" w:color="auto" w:fill="FFFFFF"/>
          </w:rPr>
          <w:t>tuberculosis</w:t>
        </w:r>
      </w:hyperlink>
      <w:r>
        <w:rPr>
          <w:rStyle w:val="apple-converted-space"/>
          <w:rFonts w:ascii="Arial" w:hAnsi="Arial" w:cs="Arial"/>
          <w:color w:val="444444"/>
          <w:sz w:val="21"/>
          <w:szCs w:val="21"/>
          <w:shd w:val="clear" w:color="auto" w:fill="FFFFFF"/>
        </w:rPr>
        <w:t> </w:t>
      </w:r>
      <w:r>
        <w:rPr>
          <w:rFonts w:ascii="Arial" w:hAnsi="Arial" w:cs="Arial"/>
          <w:color w:val="444444"/>
          <w:sz w:val="21"/>
          <w:szCs w:val="21"/>
          <w:shd w:val="clear" w:color="auto" w:fill="FFFFFF"/>
        </w:rPr>
        <w:t>(TB) silenciosa</w:t>
      </w:r>
      <w:proofErr w:type="gramEnd"/>
      <w:r>
        <w:rPr>
          <w:rFonts w:ascii="Arial" w:hAnsi="Arial" w:cs="Arial"/>
          <w:color w:val="444444"/>
          <w:sz w:val="21"/>
          <w:szCs w:val="21"/>
          <w:shd w:val="clear" w:color="auto" w:fill="FFFFFF"/>
        </w:rPr>
        <w:t>.</w:t>
      </w:r>
      <w:r w:rsidR="000E039C" w:rsidRPr="000E039C">
        <w:t xml:space="preserve"> </w:t>
      </w:r>
      <w:r w:rsidR="000E039C" w:rsidRPr="000E039C">
        <w:rPr>
          <w:rFonts w:ascii="Arial" w:hAnsi="Arial" w:cs="Arial"/>
          <w:color w:val="444444"/>
          <w:sz w:val="21"/>
          <w:szCs w:val="21"/>
          <w:shd w:val="clear" w:color="auto" w:fill="FFFFFF"/>
        </w:rPr>
        <w:t>Este examen se hace para determinar si usted alguna vez ha estado en contacto con la bacteria que causa la tuberculosis</w:t>
      </w:r>
    </w:p>
    <w:p w:rsidR="00344E47" w:rsidRDefault="00344E47">
      <w:pPr>
        <w:rPr>
          <w:rFonts w:ascii="Arial" w:hAnsi="Arial" w:cs="Arial"/>
          <w:color w:val="444444"/>
          <w:sz w:val="21"/>
          <w:szCs w:val="21"/>
          <w:shd w:val="clear" w:color="auto" w:fill="FFFFFF"/>
        </w:rPr>
      </w:pPr>
      <w:r>
        <w:rPr>
          <w:rFonts w:ascii="Arial" w:hAnsi="Arial" w:cs="Arial"/>
          <w:color w:val="444444"/>
          <w:sz w:val="21"/>
          <w:szCs w:val="21"/>
          <w:shd w:val="clear" w:color="auto" w:fill="FFFFFF"/>
        </w:rPr>
        <w:t>CUESTIONARIO LABORATORIO 1:</w:t>
      </w:r>
    </w:p>
    <w:p w:rsidR="00344E47" w:rsidRDefault="00344E47">
      <w:r>
        <w:t xml:space="preserve">PREGUNTA 2: </w:t>
      </w:r>
      <w:r w:rsidRPr="00344E47">
        <w:t>Se realizará con vapores de formaldehído y siempre por personal debidamente entrenado y con las prendas de protección personal adecuadas.</w:t>
      </w:r>
      <w:r w:rsidR="008B0DA4" w:rsidRPr="008B0DA4">
        <w:t xml:space="preserve"> </w:t>
      </w:r>
      <w:r w:rsidR="008B0DA4">
        <w:t xml:space="preserve">BETAGEN: </w:t>
      </w:r>
      <w:bookmarkStart w:id="0" w:name="_GoBack"/>
      <w:bookmarkEnd w:id="0"/>
      <w:r w:rsidR="008B0DA4">
        <w:t>permite desinfectar a nivel bactericida y fungicida, limpiar a profundidad por su excelente acción detergente y desengrasante y aromatizar el área donde se aplica.</w:t>
      </w:r>
      <w:r w:rsidR="008B0DA4">
        <w:cr/>
      </w:r>
      <w:r>
        <w:t>PREGUNTA 3:</w:t>
      </w:r>
    </w:p>
    <w:p w:rsidR="00344E47" w:rsidRDefault="008B0DA4" w:rsidP="00344E47">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calor húmedo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 método térmico de</w:t>
      </w:r>
      <w:r>
        <w:rPr>
          <w:rStyle w:val="apple-converted-space"/>
          <w:rFonts w:ascii="Arial" w:hAnsi="Arial" w:cs="Arial"/>
          <w:color w:val="252525"/>
          <w:sz w:val="21"/>
          <w:szCs w:val="21"/>
          <w:shd w:val="clear" w:color="auto" w:fill="FFFFFF"/>
        </w:rPr>
        <w:t> </w:t>
      </w:r>
      <w:hyperlink r:id="rId13" w:tooltip="Esterilización (microbiología)" w:history="1">
        <w:r>
          <w:rPr>
            <w:rStyle w:val="Hipervnculo"/>
            <w:rFonts w:ascii="Arial" w:hAnsi="Arial" w:cs="Arial"/>
            <w:color w:val="0B0080"/>
            <w:sz w:val="21"/>
            <w:szCs w:val="21"/>
            <w:u w:val="none"/>
            <w:shd w:val="clear" w:color="auto" w:fill="FFFFFF"/>
          </w:rPr>
          <w:t>esterilización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mata microorganismos por la coagulación de proteínas (desnaturalización), lo que es causado por la rotura de los puentes de hidrógeno que son los que mantienen a las proteínas en su forma tridimensional;</w:t>
      </w:r>
      <w:hyperlink r:id="rId14" w:anchor="cite_note-tortora-1" w:history="1">
        <w:r>
          <w:rPr>
            <w:rStyle w:val="Hipervnculo"/>
            <w:rFonts w:ascii="Arial" w:hAnsi="Arial" w:cs="Arial"/>
            <w:color w:val="0B0080"/>
            <w:u w:val="none"/>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las proteínas por lo tanto regresan a su </w:t>
      </w:r>
      <w:proofErr w:type="spellStart"/>
      <w:r>
        <w:rPr>
          <w:rFonts w:ascii="Arial" w:hAnsi="Arial" w:cs="Arial"/>
          <w:color w:val="252525"/>
          <w:sz w:val="21"/>
          <w:szCs w:val="21"/>
          <w:shd w:val="clear" w:color="auto" w:fill="FFFFFF"/>
        </w:rPr>
        <w:t>estrucutura</w:t>
      </w:r>
      <w:proofErr w:type="spellEnd"/>
      <w:r>
        <w:rPr>
          <w:rFonts w:ascii="Arial" w:hAnsi="Arial" w:cs="Arial"/>
          <w:color w:val="252525"/>
          <w:sz w:val="21"/>
          <w:szCs w:val="21"/>
          <w:shd w:val="clear" w:color="auto" w:fill="FFFFFF"/>
        </w:rPr>
        <w:t xml:space="preserve"> secundaria, se coagulan y se convierten en proteínas no funcionales. El calor húmedo puede penetrar más rápidamente que el calor seco porque las moléculas de agua conducen mejor el calor que las moléculas de aire. Por ello el calor húmedo puede ser usado a temperaturas más bajas y menor tiempo de exposición que el calor seco</w:t>
      </w:r>
    </w:p>
    <w:sectPr w:rsidR="00344E47" w:rsidSect="00663C7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E39"/>
    <w:multiLevelType w:val="multilevel"/>
    <w:tmpl w:val="844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E5A2E"/>
    <w:multiLevelType w:val="multilevel"/>
    <w:tmpl w:val="AE3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A1064"/>
    <w:multiLevelType w:val="multilevel"/>
    <w:tmpl w:val="077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C"/>
    <w:rsid w:val="000E039C"/>
    <w:rsid w:val="001F3CE4"/>
    <w:rsid w:val="00344E47"/>
    <w:rsid w:val="00516B2C"/>
    <w:rsid w:val="00663C7E"/>
    <w:rsid w:val="008B0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44627-B574-43FC-801C-923D44D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6B2C"/>
  </w:style>
  <w:style w:type="character" w:styleId="Hipervnculo">
    <w:name w:val="Hyperlink"/>
    <w:basedOn w:val="Fuentedeprrafopredeter"/>
    <w:uiPriority w:val="99"/>
    <w:semiHidden/>
    <w:unhideWhenUsed/>
    <w:rsid w:val="00516B2C"/>
    <w:rPr>
      <w:color w:val="0000FF"/>
      <w:u w:val="single"/>
    </w:rPr>
  </w:style>
  <w:style w:type="paragraph" w:styleId="NormalWeb">
    <w:name w:val="Normal (Web)"/>
    <w:basedOn w:val="Normal"/>
    <w:uiPriority w:val="99"/>
    <w:semiHidden/>
    <w:unhideWhenUsed/>
    <w:rsid w:val="00516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0278">
      <w:bodyDiv w:val="1"/>
      <w:marLeft w:val="0"/>
      <w:marRight w:val="0"/>
      <w:marTop w:val="0"/>
      <w:marBottom w:val="0"/>
      <w:divBdr>
        <w:top w:val="none" w:sz="0" w:space="0" w:color="auto"/>
        <w:left w:val="none" w:sz="0" w:space="0" w:color="auto"/>
        <w:bottom w:val="none" w:sz="0" w:space="0" w:color="auto"/>
        <w:right w:val="none" w:sz="0" w:space="0" w:color="auto"/>
      </w:divBdr>
    </w:div>
    <w:div w:id="10770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inamarca" TargetMode="External"/><Relationship Id="rId13" Type="http://schemas.openxmlformats.org/officeDocument/2006/relationships/hyperlink" Target="https://es.wikipedia.org/wiki/Esterilizaci%C3%B3n_(microbiolog%C3%ADa)" TargetMode="External"/><Relationship Id="rId3" Type="http://schemas.openxmlformats.org/officeDocument/2006/relationships/settings" Target="settings.xml"/><Relationship Id="rId7" Type="http://schemas.openxmlformats.org/officeDocument/2006/relationships/hyperlink" Target="https://es.wikipedia.org/wiki/Bacteria" TargetMode="External"/><Relationship Id="rId12" Type="http://schemas.openxmlformats.org/officeDocument/2006/relationships/hyperlink" Target="https://www.nlm.nih.gov/medlineplus/spanish/ency/article/00007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Bacteriolog%C3%ADa" TargetMode="External"/><Relationship Id="rId11" Type="http://schemas.openxmlformats.org/officeDocument/2006/relationships/hyperlink" Target="https://es.wikipedia.org/wiki/Bacteria_Gram_negativa" TargetMode="External"/><Relationship Id="rId5" Type="http://schemas.openxmlformats.org/officeDocument/2006/relationships/hyperlink" Target="https://es.wikipedia.org/wiki/Tinci%C3%B3n_diferencial" TargetMode="External"/><Relationship Id="rId15" Type="http://schemas.openxmlformats.org/officeDocument/2006/relationships/fontTable" Target="fontTable.xml"/><Relationship Id="rId10" Type="http://schemas.openxmlformats.org/officeDocument/2006/relationships/hyperlink" Target="https://es.wikipedia.org/wiki/Bacteria_Gram_positiva" TargetMode="External"/><Relationship Id="rId4" Type="http://schemas.openxmlformats.org/officeDocument/2006/relationships/webSettings" Target="webSettings.xml"/><Relationship Id="rId9" Type="http://schemas.openxmlformats.org/officeDocument/2006/relationships/hyperlink" Target="https://es.wikipedia.org/wiki/Christian_Gram" TargetMode="External"/><Relationship Id="rId14" Type="http://schemas.openxmlformats.org/officeDocument/2006/relationships/hyperlink" Target="https://es.wikipedia.org/wiki/Calor_h%C3%BAm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6</cp:revision>
  <dcterms:created xsi:type="dcterms:W3CDTF">2015-09-09T22:39:00Z</dcterms:created>
  <dcterms:modified xsi:type="dcterms:W3CDTF">2015-09-09T23:04:00Z</dcterms:modified>
</cp:coreProperties>
</file>