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19" w:rsidRDefault="00122419" w:rsidP="00122419">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w:t>
      </w:r>
      <w:bookmarkStart w:id="0" w:name="V"/>
      <w:r>
        <w:rPr>
          <w:rFonts w:ascii="Arial" w:hAnsi="Arial" w:cs="Arial"/>
          <w:b/>
          <w:bCs/>
          <w:color w:val="000000"/>
          <w:sz w:val="27"/>
          <w:szCs w:val="27"/>
          <w:shd w:val="clear" w:color="auto" w:fill="FFFFFF"/>
        </w:rPr>
        <w:t> </w:t>
      </w:r>
      <w:bookmarkEnd w:id="0"/>
      <w:r>
        <w:rPr>
          <w:rFonts w:ascii="Arial" w:hAnsi="Arial" w:cs="Arial"/>
          <w:b/>
          <w:bCs/>
          <w:color w:val="000000"/>
          <w:sz w:val="27"/>
          <w:szCs w:val="27"/>
          <w:shd w:val="clear" w:color="auto" w:fill="FFFFFF"/>
        </w:rPr>
        <w:t>V</w:t>
      </w:r>
    </w:p>
    <w:p w:rsidR="00122419" w:rsidRDefault="00122419" w:rsidP="00122419">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REGLAS DE SOLUCION DE CONTROVERSIAS EN MATERIA DE INTERCONEXION</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41. Aplicación.</w:t>
      </w:r>
      <w:r>
        <w:rPr>
          <w:rStyle w:val="apple-converted-space"/>
          <w:rFonts w:ascii="Arial" w:hAnsi="Arial" w:cs="Arial"/>
          <w:b/>
          <w:bCs/>
          <w:color w:val="000000"/>
          <w:sz w:val="27"/>
          <w:szCs w:val="27"/>
        </w:rPr>
        <w:t> </w:t>
      </w:r>
      <w:r>
        <w:rPr>
          <w:rFonts w:ascii="Arial" w:hAnsi="Arial" w:cs="Arial"/>
          <w:color w:val="000000"/>
          <w:sz w:val="27"/>
          <w:szCs w:val="27"/>
        </w:rPr>
        <w:t>Las reglas de este capítulo se aplicarán a las actuaciones administrativas de solución de controversias, de fijación de condiciones de acceso, uso e interconexión, y de imposición de servidumbre de acceso, uso e interconexión adelantados de oficio o a solicitud de parte ante la Comisión de Regulación de Comunicaciones.</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 w:name="42"/>
      <w:r>
        <w:rPr>
          <w:rFonts w:ascii="Arial" w:hAnsi="Arial" w:cs="Arial"/>
          <w:b/>
          <w:bCs/>
          <w:color w:val="000000"/>
          <w:sz w:val="27"/>
          <w:szCs w:val="27"/>
        </w:rPr>
        <w:t> </w:t>
      </w:r>
      <w:bookmarkEnd w:id="1"/>
      <w:r>
        <w:rPr>
          <w:rFonts w:ascii="Arial" w:hAnsi="Arial" w:cs="Arial"/>
          <w:b/>
          <w:bCs/>
          <w:color w:val="000000"/>
          <w:sz w:val="27"/>
          <w:szCs w:val="27"/>
        </w:rPr>
        <w:t>42. Plazo de negociación directa.</w:t>
      </w:r>
      <w:r>
        <w:rPr>
          <w:rStyle w:val="apple-converted-space"/>
          <w:rFonts w:ascii="Arial" w:hAnsi="Arial" w:cs="Arial"/>
          <w:b/>
          <w:bCs/>
          <w:i/>
          <w:iCs/>
          <w:color w:val="000000"/>
          <w:sz w:val="27"/>
          <w:szCs w:val="27"/>
        </w:rPr>
        <w:t> </w:t>
      </w:r>
      <w:r>
        <w:rPr>
          <w:rFonts w:ascii="Arial" w:hAnsi="Arial" w:cs="Arial"/>
          <w:color w:val="000000"/>
          <w:sz w:val="27"/>
          <w:szCs w:val="27"/>
        </w:rPr>
        <w:t>Los proveedores de servicios de telecomunicaciones contarán con un plazo de treinta (30) días calendario desde la fecha de la presentación de la solicitud con los requisitos exigidos en la regulación que sobre el particular expida la CRC, para llegar a un acuerdo directo.</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43. Solicitud de iniciación de trámite administrativo de solución de controversias, de imposición de servidumbre de acceso, uso e interconexión, y de fijación de condiciones de acceso, uso e interconexión.</w:t>
      </w:r>
      <w:r>
        <w:rPr>
          <w:rStyle w:val="apple-converted-space"/>
          <w:rFonts w:ascii="Arial" w:hAnsi="Arial" w:cs="Arial"/>
          <w:b/>
          <w:bCs/>
          <w:i/>
          <w:iCs/>
          <w:color w:val="000000"/>
          <w:sz w:val="27"/>
          <w:szCs w:val="27"/>
        </w:rPr>
        <w:t> </w:t>
      </w:r>
      <w:r>
        <w:rPr>
          <w:rFonts w:ascii="Arial" w:hAnsi="Arial" w:cs="Arial"/>
          <w:color w:val="000000"/>
          <w:sz w:val="27"/>
          <w:szCs w:val="27"/>
        </w:rPr>
        <w:t>Vencido el plazo de la negociación directa al que hace referencia el artículo 42 de la presente ley, si no se ha logrado un acuerdo, el Director Ejecutivo de la CRC, previa solicitud de parte, iniciará el trámite administrativo para dirimir en la vía administrativa la controversia surgida.</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El interesado deberá indicar en la solicitud escrita que presente ante la CRC, que no ha sido posible llegar a un acuerdo, señalando expresamente los puntos de divergencia, así como aquellos en los que haya acuerdo, y presentar la respectiva oferta final. Si alguna de las partes no presenta su oferta final en el plazo establecido, la CRC decidirá la controversia teniendo en cuenta únicamente la oferta de la parte que cumplió y lo previsto en la regulación, con lo cual se le da fin al trámite.</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44. Citaciones.</w:t>
      </w:r>
      <w:r>
        <w:rPr>
          <w:rStyle w:val="apple-converted-space"/>
          <w:rFonts w:ascii="Arial" w:hAnsi="Arial" w:cs="Arial"/>
          <w:b/>
          <w:bCs/>
          <w:color w:val="000000"/>
          <w:sz w:val="27"/>
          <w:szCs w:val="27"/>
        </w:rPr>
        <w:t> </w:t>
      </w:r>
      <w:r>
        <w:rPr>
          <w:rFonts w:ascii="Arial" w:hAnsi="Arial" w:cs="Arial"/>
          <w:color w:val="000000"/>
          <w:sz w:val="27"/>
          <w:szCs w:val="27"/>
        </w:rPr>
        <w:t>El Director Ejecutivo de la CRC, dentro de los tres (3) días hábiles siguientes al recibo de la solicitud de que trata el artículo anterior, correrá traslado de la misma a la otra parte, quien dispondrá de cinco (5) días hábiles para formular sus observaciones, presentar y solicitar pruebas, y enviar su oferta final.</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45. Etapa de mediación.</w:t>
      </w:r>
      <w:r>
        <w:rPr>
          <w:rStyle w:val="apple-converted-space"/>
          <w:rFonts w:ascii="Arial" w:hAnsi="Arial" w:cs="Arial"/>
          <w:b/>
          <w:bCs/>
          <w:color w:val="000000"/>
          <w:sz w:val="27"/>
          <w:szCs w:val="27"/>
        </w:rPr>
        <w:t> </w:t>
      </w:r>
      <w:r>
        <w:rPr>
          <w:rFonts w:ascii="Arial" w:hAnsi="Arial" w:cs="Arial"/>
          <w:color w:val="000000"/>
          <w:sz w:val="27"/>
          <w:szCs w:val="27"/>
        </w:rPr>
        <w:t xml:space="preserve">Presentadas las ofertas finales, el Director Ejecutivo de la CRC, dentro de los tres (3) días hábiles </w:t>
      </w:r>
      <w:r>
        <w:rPr>
          <w:rFonts w:ascii="Arial" w:hAnsi="Arial" w:cs="Arial"/>
          <w:color w:val="000000"/>
          <w:sz w:val="27"/>
          <w:szCs w:val="27"/>
        </w:rPr>
        <w:lastRenderedPageBreak/>
        <w:t>siguientes fijará la fecha para la realización de la audiencia que dé inicio a la etapa de mediación, con el fin de que las partes solucionen sus diferencias.</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De la audiencia se levantará el acta respectiva, en la cual se consignarán los acuerdos parciales o los nuevos puntos sobre los cuales se haya logrado acuerdo y sobre las divergencias que persistan. El acta en la cual consten los acuerdos logrados prestará mérito ejecutivo.</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Si alguna de las partes no asiste y no puede justificar su inasistencia, se decidirá teniendo en cuenta la oferta final de la empresa cumplida y lo dispuesto en la regulación.</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La desatención a las citaciones o a los dictámenes de las audiencias se considerará como una infracción al régimen legal y acarreará las sanciones a que hace referencia la presente ley, particularmente en lo que respecta a su artículo 65 de la presente ley.</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46. Práctica de pruebas.</w:t>
      </w:r>
      <w:r>
        <w:rPr>
          <w:rStyle w:val="apple-converted-space"/>
          <w:rFonts w:ascii="Arial" w:hAnsi="Arial" w:cs="Arial"/>
          <w:b/>
          <w:bCs/>
          <w:color w:val="000000"/>
          <w:sz w:val="27"/>
          <w:szCs w:val="27"/>
        </w:rPr>
        <w:t> </w:t>
      </w:r>
      <w:r>
        <w:rPr>
          <w:rFonts w:ascii="Arial" w:hAnsi="Arial" w:cs="Arial"/>
          <w:color w:val="000000"/>
          <w:sz w:val="27"/>
          <w:szCs w:val="27"/>
        </w:rPr>
        <w:t>Recibidas las ofertas finales, si es del caso, la CRC procederá a decretar de oficio o a petición de cualquiera de las partes, las pruebas que estime, conducentes, pertinentes, oportunas y necesarias. En caso de que se requiera de dictamen pericial, el término señalado para la práctica de las pruebas, empezará a correr desde el día siguiente a la fecha en la cual se posesionen los peritos designados.</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Los costos por la intervención pericial serán, definidos por la CRC en cada caso particular y serán cubiertos por partes iguales entre las partes en la actuación administrativa.</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47. Término de adopción de la decisión.</w:t>
      </w:r>
      <w:r>
        <w:rPr>
          <w:rStyle w:val="apple-converted-space"/>
          <w:rFonts w:ascii="Arial" w:hAnsi="Arial" w:cs="Arial"/>
          <w:b/>
          <w:bCs/>
          <w:i/>
          <w:iCs/>
          <w:color w:val="000000"/>
          <w:sz w:val="27"/>
          <w:szCs w:val="27"/>
        </w:rPr>
        <w:t> </w:t>
      </w:r>
      <w:r>
        <w:rPr>
          <w:rFonts w:ascii="Arial" w:hAnsi="Arial" w:cs="Arial"/>
          <w:color w:val="000000"/>
          <w:sz w:val="27"/>
          <w:szCs w:val="27"/>
        </w:rPr>
        <w:t>Para el caso de solución de controversias de interconexión, la CRC adoptará la decisión correspondiente en un plazo no superior a cuarenta y cinco (45) días calendario contados desde la fecha de inicio del trámite administrativo. En el caso de la fijación de condiciones o imposición de servidumbre de interconexión, la CRC contará con un plazo no superior a noventa (90) días calendario contados desde la fecha de inicio del trámite administrativo.</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En todo caso, el término de decisión se interrumpirá durante el periodo de práctica de pruebas a que haya lugar o durante el plazo que las partes soliciten de común acuerdo, para la búsqueda de una solución a la </w:t>
      </w:r>
      <w:r>
        <w:rPr>
          <w:rFonts w:ascii="Arial" w:hAnsi="Arial" w:cs="Arial"/>
          <w:color w:val="000000"/>
          <w:sz w:val="27"/>
          <w:szCs w:val="27"/>
        </w:rPr>
        <w:lastRenderedPageBreak/>
        <w:t>controversia planteada, por un término no superior a treinta (30) días calendario.</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48. Recursos contra las decisiones que ponen fin a las actuaciones administrativas.</w:t>
      </w:r>
      <w:r>
        <w:rPr>
          <w:rStyle w:val="apple-converted-space"/>
          <w:rFonts w:ascii="Arial" w:hAnsi="Arial" w:cs="Arial"/>
          <w:b/>
          <w:bCs/>
          <w:color w:val="000000"/>
          <w:sz w:val="27"/>
          <w:szCs w:val="27"/>
        </w:rPr>
        <w:t> </w:t>
      </w:r>
      <w:r>
        <w:rPr>
          <w:rFonts w:ascii="Arial" w:hAnsi="Arial" w:cs="Arial"/>
          <w:color w:val="000000"/>
          <w:sz w:val="27"/>
          <w:szCs w:val="27"/>
        </w:rPr>
        <w:t>Contra las decisiones de la Comisión de Regulación de Comunicaciones que pongan fin a las actuaciones administrativas sólo cabe el recurso de reposición, que podrá interponerse dentro de los cinco (5) días siguientes a la notificación, salvo respecto de lo dispuesto en el artículo 49 de la presente ley.</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 xml:space="preserve">Artículo 49. Actos de fijación de condiciones provisionales de acceso, uso e interconexión y/o imposición de servidumbre provisional de acceso, uso e </w:t>
      </w:r>
      <w:proofErr w:type="spellStart"/>
      <w:r>
        <w:rPr>
          <w:rFonts w:ascii="Arial" w:hAnsi="Arial" w:cs="Arial"/>
          <w:b/>
          <w:bCs/>
          <w:color w:val="000000"/>
          <w:sz w:val="27"/>
          <w:szCs w:val="27"/>
        </w:rPr>
        <w:t>interconexión.</w:t>
      </w:r>
      <w:r>
        <w:rPr>
          <w:rFonts w:ascii="Arial" w:hAnsi="Arial" w:cs="Arial"/>
          <w:color w:val="000000"/>
          <w:sz w:val="27"/>
          <w:szCs w:val="27"/>
        </w:rPr>
        <w:t>Los</w:t>
      </w:r>
      <w:proofErr w:type="spellEnd"/>
      <w:r>
        <w:rPr>
          <w:rFonts w:ascii="Arial" w:hAnsi="Arial" w:cs="Arial"/>
          <w:color w:val="000000"/>
          <w:sz w:val="27"/>
          <w:szCs w:val="27"/>
        </w:rPr>
        <w:t xml:space="preserve"> actos administrativos de fijación de condiciones provisionales de acceso, uso e interconexión, así como aquellos de imposición de servidumbre provisional de acceso, uso e interconexión, contendrán únicamente la verificación de los requisitos de forma y </w:t>
      </w:r>
      <w:proofErr w:type="spellStart"/>
      <w:r>
        <w:rPr>
          <w:rFonts w:ascii="Arial" w:hAnsi="Arial" w:cs="Arial"/>
          <w:color w:val="000000"/>
          <w:sz w:val="27"/>
          <w:szCs w:val="27"/>
        </w:rPr>
        <w:t>procedibilidad</w:t>
      </w:r>
      <w:proofErr w:type="spellEnd"/>
      <w:r>
        <w:rPr>
          <w:rFonts w:ascii="Arial" w:hAnsi="Arial" w:cs="Arial"/>
          <w:color w:val="000000"/>
          <w:sz w:val="27"/>
          <w:szCs w:val="27"/>
        </w:rPr>
        <w:t>, así como la orden perentoria de interconexión inmediata.</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Las condiciones mínimas para que la interconexión provisional entre a operar serán las contenidas en la Oferta Básica de Interconexión, OBI, del proveedor que ofrece la interconexión registrada ante la CRC y aprobada por la misma en los términos de la regulación.</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Contra el acto administrativo al que se hace referencia en el presente artículo no procederá recurso alguno.</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2" w:name="50"/>
      <w:r>
        <w:rPr>
          <w:rFonts w:ascii="Arial" w:hAnsi="Arial" w:cs="Arial"/>
          <w:b/>
          <w:bCs/>
          <w:color w:val="000000"/>
          <w:sz w:val="27"/>
          <w:szCs w:val="27"/>
        </w:rPr>
        <w:t> </w:t>
      </w:r>
      <w:bookmarkEnd w:id="2"/>
      <w:r>
        <w:rPr>
          <w:rFonts w:ascii="Arial" w:hAnsi="Arial" w:cs="Arial"/>
          <w:b/>
          <w:bCs/>
          <w:color w:val="000000"/>
          <w:sz w:val="27"/>
          <w:szCs w:val="27"/>
        </w:rPr>
        <w:t>50. Principios del acceso, uso e interconexión.</w:t>
      </w:r>
      <w:r>
        <w:rPr>
          <w:rStyle w:val="apple-converted-space"/>
          <w:rFonts w:ascii="Arial" w:hAnsi="Arial" w:cs="Arial"/>
          <w:b/>
          <w:bCs/>
          <w:color w:val="000000"/>
          <w:sz w:val="27"/>
          <w:szCs w:val="27"/>
        </w:rPr>
        <w:t> </w:t>
      </w:r>
      <w:r>
        <w:rPr>
          <w:rFonts w:ascii="Arial" w:hAnsi="Arial" w:cs="Arial"/>
          <w:color w:val="000000"/>
          <w:sz w:val="27"/>
          <w:szCs w:val="27"/>
        </w:rPr>
        <w:t>Los proveedores de redes y servicios de telecomunicaciones deberán permitir la interconexión de sus redes y el acceso y uso a sus instalaciones esenciales a cualquier otro proveedor que lo solicite, de acuerdo con los términos y condiciones establecidos por la Comisión de Regulación de Comunicaciones, para asegurar los siguientes objetivos:</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1. Trato no discriminatorio; con cargo igual acceso igual.</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2. Transparencia.</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3. Precios basados en costos más una utilidad razonable.</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4. Promoción de la libre y leal competencia.</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5. Evitar el abuso de la posición dominante.</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6. Garantizar que en el lugar y tiempo de la interconexión no se aplicarán prácticas que generen impactos negativos en las redes.</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Las contravenciones a lo dispuesto en este artículo serán sancionadas por el Ministerio de Tecnologías de la Información y las Comunicaciones. En particular, se sancionará el incumplimiento de la orden de interconexión declarada en el acto administrativo de fijación de condiciones provisionales o definitivas de acceso, uso e interconexión, así como aquellos de imposición de servidumbre provisional o definitiva de acceso, uso e interconexión.</w:t>
      </w:r>
    </w:p>
    <w:p w:rsidR="00122419" w:rsidRDefault="00122419" w:rsidP="00122419">
      <w:pPr>
        <w:pStyle w:val="NormalWeb"/>
        <w:shd w:val="clear" w:color="auto" w:fill="FFFFFF"/>
        <w:rPr>
          <w:rFonts w:ascii="Arial" w:hAnsi="Arial" w:cs="Arial"/>
          <w:color w:val="000000"/>
          <w:sz w:val="27"/>
          <w:szCs w:val="27"/>
        </w:rPr>
      </w:pPr>
      <w:r>
        <w:rPr>
          <w:rFonts w:ascii="Arial" w:hAnsi="Arial" w:cs="Arial"/>
          <w:color w:val="000000"/>
          <w:sz w:val="27"/>
          <w:szCs w:val="27"/>
        </w:rPr>
        <w:t>Las sanciones consistirán en multas diarias hasta por quinientos (500) salarios mínimos legales mensuales, por cada día en que incurra en la infracción, según la gravedad de la falta, el daño producido y la reincidencia en su comisión, sin perjuicio de las acciones judiciales que adelanten las partes.</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3" w:name="51"/>
      <w:r>
        <w:rPr>
          <w:rFonts w:ascii="Arial" w:hAnsi="Arial" w:cs="Arial"/>
          <w:b/>
          <w:bCs/>
          <w:color w:val="000000"/>
          <w:sz w:val="27"/>
          <w:szCs w:val="27"/>
        </w:rPr>
        <w:t> </w:t>
      </w:r>
      <w:bookmarkEnd w:id="3"/>
      <w:r>
        <w:rPr>
          <w:rFonts w:ascii="Arial" w:hAnsi="Arial" w:cs="Arial"/>
          <w:b/>
          <w:bCs/>
          <w:color w:val="000000"/>
          <w:sz w:val="27"/>
          <w:szCs w:val="27"/>
        </w:rPr>
        <w:t>51. Oferta Básica de Interconexión –OBI–.</w:t>
      </w:r>
      <w:r>
        <w:rPr>
          <w:rStyle w:val="apple-converted-space"/>
          <w:rFonts w:ascii="Arial" w:hAnsi="Arial" w:cs="Arial"/>
          <w:b/>
          <w:bCs/>
          <w:i/>
          <w:iCs/>
          <w:color w:val="000000"/>
          <w:sz w:val="27"/>
          <w:szCs w:val="27"/>
        </w:rPr>
        <w:t> </w:t>
      </w:r>
      <w:r>
        <w:rPr>
          <w:rFonts w:ascii="Arial" w:hAnsi="Arial" w:cs="Arial"/>
          <w:color w:val="000000"/>
          <w:sz w:val="27"/>
          <w:szCs w:val="27"/>
        </w:rPr>
        <w:t>Los proveedores de redes y servicios de telecomunicaciones deberán poner a disposición del público y mantener actualizada la Oferta Básica de Interconexión –OBI– para ser consultada por cualquier persona. Para tales efectos, en la OBI se definirán la totalidad de elementos necesarios, incluidos los precios, para que con su simple aceptación por parte de un proveedor se genere un acuerdo de acceso, uso e interconexión.</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 xml:space="preserve">La Comisión de Regulación de Comunicaciones deberá aprobar la OBI de los proveedores de redes y servicios de telecomunicaciones. Para el efecto, la OBI deberá ser registrada dentro de los cuarenta y cinco (45) días </w:t>
      </w:r>
      <w:proofErr w:type="gramStart"/>
      <w:r>
        <w:rPr>
          <w:rFonts w:ascii="Arial" w:hAnsi="Arial" w:cs="Arial"/>
          <w:color w:val="000000"/>
          <w:sz w:val="27"/>
          <w:szCs w:val="27"/>
        </w:rPr>
        <w:t>calendario siguientes</w:t>
      </w:r>
      <w:proofErr w:type="gramEnd"/>
      <w:r>
        <w:rPr>
          <w:rFonts w:ascii="Arial" w:hAnsi="Arial" w:cs="Arial"/>
          <w:color w:val="000000"/>
          <w:sz w:val="27"/>
          <w:szCs w:val="27"/>
        </w:rPr>
        <w:t xml:space="preserve"> a la entrada en vigencia de la presente ley. En caso de presentarse modificaciones a la OBI registrada, las mismas deberán ser debidamente remitidas a la CRC para su respectiva aprobación.</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2°.</w:t>
      </w:r>
      <w:r>
        <w:rPr>
          <w:rStyle w:val="apple-converted-space"/>
          <w:rFonts w:ascii="Arial" w:hAnsi="Arial" w:cs="Arial"/>
          <w:b/>
          <w:bCs/>
          <w:color w:val="000000"/>
          <w:sz w:val="27"/>
          <w:szCs w:val="27"/>
        </w:rPr>
        <w:t> </w:t>
      </w:r>
      <w:r>
        <w:rPr>
          <w:rFonts w:ascii="Arial" w:hAnsi="Arial" w:cs="Arial"/>
          <w:color w:val="000000"/>
          <w:sz w:val="27"/>
          <w:szCs w:val="27"/>
        </w:rPr>
        <w:t>Una vez la OBI haya sido aprobada por la CRC, la misma tendrá efectos vinculantes respecto de los proveedores de redes y servicios de telecomunicaciones y con base en la misma la CRC impondrá la servidumbre de acceso, uso e interconexión provisional, y fijará las condiciones provisionales de acceso, uso e interconexión.</w:t>
      </w:r>
    </w:p>
    <w:p w:rsidR="00122419" w:rsidRDefault="00122419" w:rsidP="00122419">
      <w:pPr>
        <w:pStyle w:val="NormalWeb"/>
        <w:shd w:val="clear" w:color="auto" w:fill="FFFFFF"/>
        <w:rPr>
          <w:rFonts w:ascii="Arial" w:hAnsi="Arial" w:cs="Arial"/>
          <w:color w:val="000000"/>
          <w:sz w:val="27"/>
          <w:szCs w:val="27"/>
        </w:rPr>
      </w:pPr>
      <w:r>
        <w:rPr>
          <w:rFonts w:ascii="Arial" w:hAnsi="Arial" w:cs="Arial"/>
          <w:b/>
          <w:bCs/>
          <w:color w:val="000000"/>
          <w:sz w:val="27"/>
          <w:szCs w:val="27"/>
        </w:rPr>
        <w:lastRenderedPageBreak/>
        <w:t>Artículo 52. Presentaciones personales.</w:t>
      </w:r>
      <w:r>
        <w:rPr>
          <w:rStyle w:val="apple-converted-space"/>
          <w:rFonts w:ascii="Arial" w:hAnsi="Arial" w:cs="Arial"/>
          <w:b/>
          <w:bCs/>
          <w:color w:val="000000"/>
          <w:sz w:val="27"/>
          <w:szCs w:val="27"/>
        </w:rPr>
        <w:t> </w:t>
      </w:r>
      <w:r>
        <w:rPr>
          <w:rFonts w:ascii="Arial" w:hAnsi="Arial" w:cs="Arial"/>
          <w:color w:val="000000"/>
          <w:sz w:val="27"/>
          <w:szCs w:val="27"/>
        </w:rPr>
        <w:t>No será necesaria la presentación personal del interesado para hacer las peticiones o interponer los recursos, ni para su trámite.</w:t>
      </w:r>
    </w:p>
    <w:p w:rsidR="001D7294" w:rsidRDefault="001D7294">
      <w:bookmarkStart w:id="4" w:name="_GoBack"/>
      <w:bookmarkEnd w:id="4"/>
    </w:p>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19"/>
    <w:rsid w:val="00122419"/>
    <w:rsid w:val="001D7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DA093-7FA1-4ED2-9CD8-011748A7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2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1</cp:revision>
  <dcterms:created xsi:type="dcterms:W3CDTF">2015-03-02T15:05:00Z</dcterms:created>
  <dcterms:modified xsi:type="dcterms:W3CDTF">2015-03-02T15:05:00Z</dcterms:modified>
</cp:coreProperties>
</file>