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E1" w:rsidRDefault="00C457E1" w:rsidP="00C457E1">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IX</w:t>
      </w:r>
    </w:p>
    <w:p w:rsidR="00C457E1" w:rsidRDefault="00C457E1" w:rsidP="00C457E1">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REGIMEN DE INFRACCIONES Y SANCIONES</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0" w:name="63"/>
      <w:r>
        <w:rPr>
          <w:rFonts w:ascii="Arial" w:hAnsi="Arial" w:cs="Arial"/>
          <w:b/>
          <w:bCs/>
          <w:color w:val="000000"/>
          <w:sz w:val="27"/>
          <w:szCs w:val="27"/>
        </w:rPr>
        <w:t> </w:t>
      </w:r>
      <w:bookmarkEnd w:id="0"/>
      <w:r>
        <w:rPr>
          <w:rFonts w:ascii="Arial" w:hAnsi="Arial" w:cs="Arial"/>
          <w:b/>
          <w:bCs/>
          <w:color w:val="000000"/>
          <w:sz w:val="27"/>
          <w:szCs w:val="27"/>
        </w:rPr>
        <w:t>63. Disposiciones generales del Régimen de Infracciones y Sanciones.</w:t>
      </w:r>
      <w:r>
        <w:rPr>
          <w:rStyle w:val="apple-converted-space"/>
          <w:rFonts w:ascii="Arial" w:hAnsi="Arial" w:cs="Arial"/>
          <w:b/>
          <w:bCs/>
          <w:color w:val="000000"/>
          <w:sz w:val="27"/>
          <w:szCs w:val="27"/>
        </w:rPr>
        <w:t> </w:t>
      </w:r>
      <w:r>
        <w:rPr>
          <w:rFonts w:ascii="Arial" w:hAnsi="Arial" w:cs="Arial"/>
          <w:color w:val="000000"/>
          <w:sz w:val="27"/>
          <w:szCs w:val="27"/>
        </w:rPr>
        <w:t xml:space="preserve">Las infracciones a las normas contenidas en la presente ley y sus decretos reglamentarios darán lugar a la imposición de sanciones legales por parte del Ministerio de Tecnologías de la Información y las Comunicaciones, salvo cuando esta facultad </w:t>
      </w:r>
      <w:proofErr w:type="spellStart"/>
      <w:r>
        <w:rPr>
          <w:rFonts w:ascii="Arial" w:hAnsi="Arial" w:cs="Arial"/>
          <w:color w:val="000000"/>
          <w:sz w:val="27"/>
          <w:szCs w:val="27"/>
        </w:rPr>
        <w:t>sancionatoría</w:t>
      </w:r>
      <w:proofErr w:type="spellEnd"/>
      <w:r>
        <w:rPr>
          <w:rFonts w:ascii="Arial" w:hAnsi="Arial" w:cs="Arial"/>
          <w:color w:val="000000"/>
          <w:sz w:val="27"/>
          <w:szCs w:val="27"/>
        </w:rPr>
        <w:t xml:space="preserve"> esté asignada por ley o reglamento a otra entidad pública.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Por las infracciones que se cometan, además del autor de las mismas, responderá el titular de la licencia o del permiso o autorización, por acción u omisión en relación con aquellas.</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 w:name="64"/>
      <w:r>
        <w:rPr>
          <w:rFonts w:ascii="Arial" w:hAnsi="Arial" w:cs="Arial"/>
          <w:b/>
          <w:bCs/>
          <w:color w:val="000000"/>
          <w:sz w:val="27"/>
          <w:szCs w:val="27"/>
        </w:rPr>
        <w:t> </w:t>
      </w:r>
      <w:bookmarkEnd w:id="1"/>
      <w:r>
        <w:rPr>
          <w:rFonts w:ascii="Arial" w:hAnsi="Arial" w:cs="Arial"/>
          <w:b/>
          <w:bCs/>
          <w:color w:val="000000"/>
          <w:sz w:val="27"/>
          <w:szCs w:val="27"/>
        </w:rPr>
        <w:t>64. Infracciones.</w:t>
      </w:r>
      <w:r>
        <w:rPr>
          <w:rStyle w:val="apple-converted-space"/>
          <w:rFonts w:ascii="Arial" w:hAnsi="Arial" w:cs="Arial"/>
          <w:b/>
          <w:bCs/>
          <w:color w:val="000000"/>
          <w:sz w:val="27"/>
          <w:szCs w:val="27"/>
        </w:rPr>
        <w:t> </w:t>
      </w:r>
      <w:r>
        <w:rPr>
          <w:rFonts w:ascii="Arial" w:hAnsi="Arial" w:cs="Arial"/>
          <w:color w:val="000000"/>
          <w:sz w:val="27"/>
          <w:szCs w:val="27"/>
        </w:rPr>
        <w:t>Sin perjuicio de las infracciones y sanciones previstas en otras normas, constituyen infracciones específicas a este ordenamiento las siguientes: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 No respetar la confidencialidad o reserva de las comunicaciones.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2. Proveer redes y servicios o realizar telecomunicaciones en forma distinta a lo previsto en la ley.</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3. Utilizar el espectro radioeléctrico sin el correspondiente permiso o en forma distinta a las condiciones de su asignación.</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4. El incumplimiento de las obligaciones derivadas de las concesiones, licencias, autorizaciones y permisos.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5. Abstenerse de presentar a las autoridades la información requerida o presentarla de forma inexacta o incompleta.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6. Incumplir el pago de las contraprestaciones previstas en la ley.</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7. Incumplir el régimen de acceso, uso, homologación e interconexión de redes.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8. Realizar subsidios cruzados o no adoptar contabilidad separada.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9. Incumplir los parámetros de calidad y eficiencia que expida la CRC.</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10. Violar el régimen de inhabilidades, incompatibilidades y prohibiciones previsto en la ley.</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11. La modificación unilateral de parámetros técnicos esenciales y el incumplimiento de los fines del servicio de radiodifusión sonora.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12. </w:t>
      </w:r>
      <w:bookmarkStart w:id="2" w:name="64.12"/>
      <w:r>
        <w:rPr>
          <w:rFonts w:ascii="Arial" w:hAnsi="Arial" w:cs="Arial"/>
          <w:color w:val="000000"/>
          <w:sz w:val="27"/>
          <w:szCs w:val="27"/>
        </w:rPr>
        <w:t> </w:t>
      </w:r>
      <w:bookmarkEnd w:id="2"/>
      <w:r>
        <w:rPr>
          <w:rFonts w:ascii="Arial" w:hAnsi="Arial" w:cs="Arial"/>
          <w:color w:val="000000"/>
          <w:sz w:val="27"/>
          <w:szCs w:val="27"/>
        </w:rPr>
        <w:t>Cualquiera otra forma de incumplimiento o violación de las disposiciones legales, reglamentarias o contractuales o regulatorias en materia de telecomunicaciones.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13. Cualquier práctica o aplicación que afecte negativamente el medio ambiente, en especial el entorno de los usuarios, el espectro electromagnético y las garantías de los demás proveedores y operadores y la salud pública.</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Cualquier proveedor de red o servicio que opere sin previo permiso para uso del espectro será considerado como clandestino y el Ministerio de Tecnologías de la Información y las Comunicaciones, así como las autoridades militares y de policía procederán a suspenderlo y a decomisar los equipos, sin perjuicio de las sanciones de orden administrativo o penal a que hubiere lugar, conforme a las normas legales y reglamentarias vigentes.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Los equipos decomisados serán depositados a órdenes del Ministerio de Tecnologías de la Información y las Comunicaciones, el cual les dará la destinación y el uso que fijen las normas pertinentes.</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65. Sanciones.</w:t>
      </w:r>
      <w:r>
        <w:rPr>
          <w:rStyle w:val="apple-converted-space"/>
          <w:rFonts w:ascii="Arial" w:hAnsi="Arial" w:cs="Arial"/>
          <w:b/>
          <w:bCs/>
          <w:color w:val="000000"/>
          <w:sz w:val="27"/>
          <w:szCs w:val="27"/>
        </w:rPr>
        <w:t> </w:t>
      </w:r>
      <w:r>
        <w:rPr>
          <w:rFonts w:ascii="Arial" w:hAnsi="Arial" w:cs="Arial"/>
          <w:color w:val="000000"/>
          <w:sz w:val="27"/>
          <w:szCs w:val="27"/>
        </w:rPr>
        <w:t>Sin perjuicio de la responsabilidad penal o civil en que pueda incurrir el infractor, la persona natural o jurídica que incurra en cualquiera de las infracciones señaladas en el artículo 64 de la presente ley, será sancionada, además de la orden de cesación inmediata de la conducta que sea contraria a las disposiciones previstas en esta ley, con:</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 Amonestación.</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2. Multa hasta por el equivalente a dos mil (2.000) salarios mínimos legales mensuales.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3. Suspensión de la operación al público hasta por dos (2) meses.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4. Caducidad del contrato o cancelación de la licencia, autorización o permiso.</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66. Criterios para la definición de las sanciones.</w:t>
      </w:r>
      <w:r>
        <w:rPr>
          <w:rStyle w:val="apple-converted-space"/>
          <w:rFonts w:ascii="Arial" w:hAnsi="Arial" w:cs="Arial"/>
          <w:b/>
          <w:bCs/>
          <w:color w:val="000000"/>
          <w:sz w:val="27"/>
          <w:szCs w:val="27"/>
        </w:rPr>
        <w:t> </w:t>
      </w:r>
      <w:r>
        <w:rPr>
          <w:rFonts w:ascii="Arial" w:hAnsi="Arial" w:cs="Arial"/>
          <w:color w:val="000000"/>
          <w:sz w:val="27"/>
          <w:szCs w:val="27"/>
        </w:rPr>
        <w:t>Para definir las sanciones aplicables se deberá tener en cuenta: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 La gravedad de la falta.</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2. Daño producido.</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3. Reincidencia en la comisión de los hechos.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4. La proporcionalidad entre la falta y la sanción.</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En todo caso, el acto administrativo que imponga una sanción deberá incluir la valoración de los criterios antes anotados.</w:t>
      </w:r>
    </w:p>
    <w:p w:rsidR="00C457E1" w:rsidRDefault="00C457E1" w:rsidP="00C457E1">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67. Procedimiento general.</w:t>
      </w:r>
      <w:r>
        <w:rPr>
          <w:rStyle w:val="apple-converted-space"/>
          <w:rFonts w:ascii="Arial" w:hAnsi="Arial" w:cs="Arial"/>
          <w:b/>
          <w:bCs/>
          <w:color w:val="000000"/>
          <w:sz w:val="27"/>
          <w:szCs w:val="27"/>
        </w:rPr>
        <w:t> </w:t>
      </w:r>
      <w:r>
        <w:rPr>
          <w:rFonts w:ascii="Arial" w:hAnsi="Arial" w:cs="Arial"/>
          <w:color w:val="000000"/>
          <w:sz w:val="27"/>
          <w:szCs w:val="27"/>
        </w:rPr>
        <w:t>Para determinar si existe una infracción a las normas previstas en esta ley se deberá adelantar una actuación administrativa que estará siempre precedida de las garantías del debido proceso, el cual incluye el derecho de defensa y contradicción. A dicha actuación se aplicarán las siguientes reglas: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1. La actuación administrativa se inicia mediante la formulación de cargos al supuesto infractor, a través de acto administrativo motivado, con indicación de la infracción y del plazo para presentar descargos, el cual se comunicará de acuerdo con las disposiciones previstas en este artículo.</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2. La citación o comunicación se entenderá cumplida al cabo del décimo día siguiente a aquel en que haya sido puesta al correo, si ese fue el medio escogido para hacerla, y si el citado tuviere domicilio en el país; si lo tuviere en el exterior, se entenderá cumplida al cabo del vigésimo día. Las publicaciones se entenderán surtidas al cabo del día siguiente a aquel en que se hacen.</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3. Una vez surtida la comunicación, el investigado tendrá un término de diez (10) días hábiles para presentar sus descargos y solicitar pruebas.</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t>4. Presentados los descargos, se decretarán las pruebas a que haya lugar y se aplicarán en la práctica de las mismas las disposiciones previstas en el proceso civil.</w:t>
      </w:r>
    </w:p>
    <w:p w:rsidR="00C457E1" w:rsidRDefault="00C457E1" w:rsidP="00C457E1">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5. Agotada la etapa probatoria, se expedirá la resolución por la cual se decide el asunto, que deberá ser notificada y será sujeta de recursos en los términos previstos en el Código Contencioso Administrativo.</w:t>
      </w:r>
    </w:p>
    <w:p w:rsidR="001D7294" w:rsidRDefault="001D7294">
      <w:bookmarkStart w:id="3" w:name="_GoBack"/>
      <w:bookmarkEnd w:id="3"/>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E1"/>
    <w:rsid w:val="001D7294"/>
    <w:rsid w:val="00C457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FEB7D-F467-49D3-A810-9143782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57E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4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2015-03-02T15:08:00Z</dcterms:created>
  <dcterms:modified xsi:type="dcterms:W3CDTF">2015-03-02T15:09:00Z</dcterms:modified>
</cp:coreProperties>
</file>