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1168" w:type="dxa"/>
        <w:tblLook w:val="04A0" w:firstRow="1" w:lastRow="0" w:firstColumn="1" w:lastColumn="0" w:noHBand="0" w:noVBand="1"/>
      </w:tblPr>
      <w:tblGrid>
        <w:gridCol w:w="1700"/>
        <w:gridCol w:w="2411"/>
        <w:gridCol w:w="2127"/>
        <w:gridCol w:w="2551"/>
        <w:gridCol w:w="2552"/>
        <w:gridCol w:w="1590"/>
        <w:gridCol w:w="2662"/>
      </w:tblGrid>
      <w:tr w:rsidR="00482951" w:rsidRPr="004232E7" w:rsidTr="002C4FCD">
        <w:trPr>
          <w:trHeight w:val="292"/>
        </w:trPr>
        <w:tc>
          <w:tcPr>
            <w:tcW w:w="1700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>Name Of Drug</w:t>
            </w:r>
          </w:p>
        </w:tc>
        <w:tc>
          <w:tcPr>
            <w:tcW w:w="2411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>Mechanism of Action</w:t>
            </w:r>
          </w:p>
        </w:tc>
        <w:tc>
          <w:tcPr>
            <w:tcW w:w="2127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 xml:space="preserve">Parasite it affects </w:t>
            </w:r>
          </w:p>
        </w:tc>
        <w:tc>
          <w:tcPr>
            <w:tcW w:w="2551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 xml:space="preserve">Dose </w:t>
            </w:r>
          </w:p>
        </w:tc>
        <w:tc>
          <w:tcPr>
            <w:tcW w:w="2552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>Contraindications and Side effects</w:t>
            </w:r>
          </w:p>
        </w:tc>
        <w:tc>
          <w:tcPr>
            <w:tcW w:w="1590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>Route of Administration</w:t>
            </w:r>
          </w:p>
        </w:tc>
        <w:tc>
          <w:tcPr>
            <w:tcW w:w="2662" w:type="dxa"/>
          </w:tcPr>
          <w:p w:rsidR="00482951" w:rsidRPr="004232E7" w:rsidRDefault="00482951" w:rsidP="00A63064">
            <w:pPr>
              <w:pStyle w:val="NoSpacing"/>
              <w:rPr>
                <w:b/>
              </w:rPr>
            </w:pPr>
            <w:r w:rsidRPr="004232E7">
              <w:rPr>
                <w:b/>
              </w:rPr>
              <w:t>Other Information</w:t>
            </w:r>
          </w:p>
        </w:tc>
      </w:tr>
      <w:tr w:rsidR="00DE5721" w:rsidRPr="004232E7" w:rsidTr="002C4FCD">
        <w:trPr>
          <w:trHeight w:val="292"/>
        </w:trPr>
        <w:tc>
          <w:tcPr>
            <w:tcW w:w="1700" w:type="dxa"/>
          </w:tcPr>
          <w:p w:rsidR="00DE5721" w:rsidRPr="004232E7" w:rsidRDefault="00DE5721" w:rsidP="00DE5721">
            <w:pPr>
              <w:pStyle w:val="NoSpacing"/>
            </w:pPr>
            <w:r w:rsidRPr="004232E7">
              <w:t>Dichlorophen</w:t>
            </w:r>
          </w:p>
        </w:tc>
        <w:tc>
          <w:tcPr>
            <w:tcW w:w="2411" w:type="dxa"/>
          </w:tcPr>
          <w:p w:rsidR="00DE5721" w:rsidRPr="004232E7" w:rsidRDefault="00DE5721" w:rsidP="00DE5721">
            <w:pPr>
              <w:pStyle w:val="NoSpacing"/>
            </w:pPr>
          </w:p>
        </w:tc>
        <w:tc>
          <w:tcPr>
            <w:tcW w:w="2127" w:type="dxa"/>
          </w:tcPr>
          <w:p w:rsidR="00DE5721" w:rsidRPr="004232E7" w:rsidRDefault="00DE5721" w:rsidP="00DE5721">
            <w:pPr>
              <w:pStyle w:val="NoSpacing"/>
            </w:pPr>
            <w:r w:rsidRPr="004232E7">
              <w:t>Dogs and cats:</w:t>
            </w:r>
          </w:p>
          <w:p w:rsidR="00DE5721" w:rsidRPr="004232E7" w:rsidRDefault="00DE5721" w:rsidP="00DE5721">
            <w:pPr>
              <w:pStyle w:val="NoSpacing"/>
            </w:pPr>
            <w:r w:rsidRPr="004232E7">
              <w:t>Taenia spp., Dipylidium spp.</w:t>
            </w:r>
          </w:p>
        </w:tc>
        <w:tc>
          <w:tcPr>
            <w:tcW w:w="2551" w:type="dxa"/>
          </w:tcPr>
          <w:p w:rsidR="00DE5721" w:rsidRPr="004232E7" w:rsidRDefault="00DE5721" w:rsidP="00DE5721">
            <w:pPr>
              <w:pStyle w:val="NoSpacing"/>
            </w:pPr>
          </w:p>
        </w:tc>
        <w:tc>
          <w:tcPr>
            <w:tcW w:w="2552" w:type="dxa"/>
          </w:tcPr>
          <w:p w:rsidR="00DE5721" w:rsidRPr="004232E7" w:rsidRDefault="00DE5721" w:rsidP="00DE5721">
            <w:pPr>
              <w:pStyle w:val="NoSpacing"/>
            </w:pPr>
          </w:p>
        </w:tc>
        <w:tc>
          <w:tcPr>
            <w:tcW w:w="1590" w:type="dxa"/>
          </w:tcPr>
          <w:p w:rsidR="00DE5721" w:rsidRPr="004232E7" w:rsidRDefault="00B83CC1" w:rsidP="00DE5721">
            <w:pPr>
              <w:pStyle w:val="NoSpacing"/>
            </w:pPr>
            <w:r w:rsidRPr="004232E7">
              <w:t>Oral</w:t>
            </w:r>
          </w:p>
        </w:tc>
        <w:tc>
          <w:tcPr>
            <w:tcW w:w="2662" w:type="dxa"/>
          </w:tcPr>
          <w:p w:rsidR="00DE5721" w:rsidRPr="004232E7" w:rsidRDefault="00DE5721" w:rsidP="00DE5721">
            <w:pPr>
              <w:pStyle w:val="NoSpacing"/>
            </w:pPr>
            <w:r w:rsidRPr="004232E7">
              <w:t xml:space="preserve">Combined with other antinematodal drugs in many proprietary formulations to treat both nematodes and cestodes simultaneously. </w:t>
            </w:r>
          </w:p>
        </w:tc>
      </w:tr>
      <w:tr w:rsidR="00DE5721" w:rsidRPr="004232E7" w:rsidTr="002C4FCD">
        <w:trPr>
          <w:trHeight w:val="292"/>
        </w:trPr>
        <w:tc>
          <w:tcPr>
            <w:tcW w:w="1700" w:type="dxa"/>
          </w:tcPr>
          <w:p w:rsidR="00DE5721" w:rsidRPr="004232E7" w:rsidRDefault="00DC1506" w:rsidP="00DE5721">
            <w:pPr>
              <w:pStyle w:val="NoSpacing"/>
            </w:pPr>
            <w:r w:rsidRPr="004232E7">
              <w:t>Praziquantel</w:t>
            </w:r>
            <w:r w:rsidR="00DE5721" w:rsidRPr="004232E7">
              <w:t xml:space="preserve"> (Droncit®)</w:t>
            </w:r>
          </w:p>
          <w:p w:rsidR="00DE5721" w:rsidRPr="004232E7" w:rsidRDefault="00DE5721" w:rsidP="00DE5721">
            <w:pPr>
              <w:pStyle w:val="NoSpacing"/>
            </w:pPr>
          </w:p>
        </w:tc>
        <w:tc>
          <w:tcPr>
            <w:tcW w:w="2411" w:type="dxa"/>
          </w:tcPr>
          <w:p w:rsidR="001E0143" w:rsidRPr="004232E7" w:rsidRDefault="001E0143" w:rsidP="001E0143">
            <w:pPr>
              <w:pStyle w:val="NoSpacing"/>
            </w:pPr>
            <w:r w:rsidRPr="004232E7">
              <w:t>Praziquantel exact mechanism of action against cestodes has not been determined. At low concentrations in vitro, the drug appears to impair the function of t</w:t>
            </w:r>
            <w:r w:rsidR="00307365" w:rsidRPr="004232E7">
              <w:t xml:space="preserve">heir suckers and stimulates the </w:t>
            </w:r>
            <w:proofErr w:type="gramStart"/>
            <w:r w:rsidRPr="004232E7">
              <w:t>worms</w:t>
            </w:r>
            <w:proofErr w:type="gramEnd"/>
            <w:r w:rsidRPr="004232E7">
              <w:t xml:space="preserve"> motility. At higher concentrations in vitro, praziquantel increases the contraction (irreversibly at very high concentrations</w:t>
            </w:r>
            <w:r w:rsidR="00307365" w:rsidRPr="004232E7">
              <w:t xml:space="preserve">) of the </w:t>
            </w:r>
            <w:proofErr w:type="gramStart"/>
            <w:r w:rsidRPr="004232E7">
              <w:t>worms</w:t>
            </w:r>
            <w:proofErr w:type="gramEnd"/>
            <w:r w:rsidRPr="004232E7">
              <w:t xml:space="preserve"> strobilla (chain of proglottids).</w:t>
            </w:r>
          </w:p>
          <w:p w:rsidR="001E0143" w:rsidRPr="004232E7" w:rsidRDefault="001E0143" w:rsidP="001E0143">
            <w:pPr>
              <w:pStyle w:val="NoSpacing"/>
            </w:pPr>
            <w:r w:rsidRPr="004232E7">
              <w:t>Also, praziquantel causes irreversible focal vacuolization with subsequent cestodal disintegration at specific sites of the cestodal integument.</w:t>
            </w:r>
          </w:p>
          <w:p w:rsidR="00DE5721" w:rsidRPr="004232E7" w:rsidRDefault="001E0143" w:rsidP="001E0143">
            <w:pPr>
              <w:pStyle w:val="NoSpacing"/>
            </w:pPr>
            <w:r w:rsidRPr="004232E7">
              <w:t xml:space="preserve">In schistosomes and trematodes, </w:t>
            </w:r>
            <w:r w:rsidRPr="004232E7">
              <w:lastRenderedPageBreak/>
              <w:t>praziquantel directly kills the parasite, possibly by increasing calcium ion flux into the worm. Focal vacuolization of the integument follows and the parasite is</w:t>
            </w:r>
            <w:r w:rsidR="00307365" w:rsidRPr="004232E7">
              <w:t xml:space="preserve"> </w:t>
            </w:r>
            <w:r w:rsidRPr="004232E7">
              <w:t>phagocytized.</w:t>
            </w:r>
          </w:p>
        </w:tc>
        <w:tc>
          <w:tcPr>
            <w:tcW w:w="2127" w:type="dxa"/>
          </w:tcPr>
          <w:p w:rsidR="00DE5721" w:rsidRPr="004232E7" w:rsidRDefault="002E1255" w:rsidP="00DE5721">
            <w:pPr>
              <w:pStyle w:val="NoSpacing"/>
            </w:pPr>
            <w:r w:rsidRPr="004232E7">
              <w:lastRenderedPageBreak/>
              <w:t xml:space="preserve">Taenia, Dipylidium, Spirometra, Diphyllobothrium </w:t>
            </w:r>
          </w:p>
        </w:tc>
        <w:tc>
          <w:tcPr>
            <w:tcW w:w="2551" w:type="dxa"/>
          </w:tcPr>
          <w:p w:rsidR="00307365" w:rsidRPr="002C4FCD" w:rsidRDefault="00307365" w:rsidP="002C4FCD">
            <w:pPr>
              <w:pStyle w:val="NoSpacing"/>
            </w:pPr>
            <w:r w:rsidRPr="002C4FCD">
              <w:t>Dogs:</w:t>
            </w:r>
          </w:p>
          <w:p w:rsidR="00307365" w:rsidRPr="002C4FCD" w:rsidRDefault="00307365" w:rsidP="002C4FCD">
            <w:pPr>
              <w:pStyle w:val="NoSpacing"/>
            </w:pPr>
            <w:r w:rsidRPr="002C4FCD">
              <w:t>For susceptible cestodes:</w:t>
            </w:r>
          </w:p>
          <w:p w:rsidR="00DE5721" w:rsidRPr="002C4FCD" w:rsidRDefault="004232E7" w:rsidP="002C4FCD">
            <w:pPr>
              <w:pStyle w:val="NoSpacing"/>
            </w:pPr>
            <w:r w:rsidRPr="002C4FCD">
              <w:t>5 mg/kg</w:t>
            </w:r>
          </w:p>
          <w:p w:rsidR="004232E7" w:rsidRPr="002C4FCD" w:rsidRDefault="004232E7" w:rsidP="002C4FCD">
            <w:pPr>
              <w:pStyle w:val="NoSpacing"/>
            </w:pPr>
          </w:p>
          <w:p w:rsidR="004232E7" w:rsidRPr="002C4FCD" w:rsidRDefault="004232E7" w:rsidP="002C4FCD">
            <w:pPr>
              <w:pStyle w:val="NoSpacing"/>
            </w:pPr>
            <w:r w:rsidRPr="002C4FCD">
              <w:t>For Echinococcus granulosus: 10 mg/kg</w:t>
            </w:r>
          </w:p>
          <w:p w:rsidR="004232E7" w:rsidRPr="002C4FCD" w:rsidRDefault="004232E7" w:rsidP="002C4FCD">
            <w:pPr>
              <w:pStyle w:val="NoSpacing"/>
            </w:pPr>
          </w:p>
          <w:p w:rsidR="004232E7" w:rsidRPr="002C4FCD" w:rsidRDefault="004232E7" w:rsidP="002C4FCD">
            <w:pPr>
              <w:pStyle w:val="NoSpacing"/>
            </w:pPr>
            <w:r w:rsidRPr="002C4FCD">
              <w:t>For Echinococcus granulosus: 10 mg/kg</w:t>
            </w:r>
          </w:p>
          <w:p w:rsidR="004232E7" w:rsidRPr="002C4FCD" w:rsidRDefault="004232E7" w:rsidP="002C4FCD">
            <w:pPr>
              <w:pStyle w:val="NoSpacing"/>
            </w:pPr>
          </w:p>
          <w:p w:rsidR="004232E7" w:rsidRPr="002C4FCD" w:rsidRDefault="004232E7" w:rsidP="002C4FCD">
            <w:pPr>
              <w:pStyle w:val="NoSpacing"/>
            </w:pPr>
            <w:r w:rsidRPr="002C4FCD">
              <w:t>Spirometra mansonoides or Diphyllobothrium erinacei: 7.5 mg/kg PO once daily for 2 days.</w:t>
            </w:r>
          </w:p>
          <w:p w:rsidR="004232E7" w:rsidRPr="002C4FCD" w:rsidRDefault="004232E7" w:rsidP="002C4FCD">
            <w:pPr>
              <w:pStyle w:val="NoSpacing"/>
            </w:pPr>
          </w:p>
          <w:p w:rsidR="004232E7" w:rsidRPr="002C4FCD" w:rsidRDefault="004232E7" w:rsidP="002C4FCD">
            <w:pPr>
              <w:pStyle w:val="NoSpacing"/>
            </w:pPr>
            <w:r w:rsidRPr="002C4FCD">
              <w:t>Cats:</w:t>
            </w:r>
          </w:p>
          <w:p w:rsidR="004232E7" w:rsidRPr="002C4FCD" w:rsidRDefault="002C4FCD" w:rsidP="002C4FCD">
            <w:pPr>
              <w:pStyle w:val="NoSpacing"/>
            </w:pPr>
            <w:r w:rsidRPr="002C4FCD">
              <w:t>23 mg/kg PO q8h for 3 days</w:t>
            </w:r>
          </w:p>
          <w:p w:rsidR="002C4FCD" w:rsidRPr="002C4FCD" w:rsidRDefault="002C4FCD" w:rsidP="002C4FCD">
            <w:pPr>
              <w:pStyle w:val="NoSpacing"/>
            </w:pPr>
          </w:p>
          <w:p w:rsidR="002C4FCD" w:rsidRPr="002C4FCD" w:rsidRDefault="002C4FCD" w:rsidP="002C4FCD">
            <w:pPr>
              <w:pStyle w:val="NoSpacing"/>
            </w:pPr>
            <w:r w:rsidRPr="002C4FCD">
              <w:t>Sheep and Goats:</w:t>
            </w:r>
          </w:p>
          <w:p w:rsidR="002C4FCD" w:rsidRPr="002C4FCD" w:rsidRDefault="002C4FCD" w:rsidP="002C4FCD">
            <w:pPr>
              <w:pStyle w:val="NoSpacing"/>
            </w:pPr>
            <w:r w:rsidRPr="002C4FCD">
              <w:t>Moniezia, Stilesia, or Avitellina</w:t>
            </w:r>
            <w:bookmarkStart w:id="0" w:name="_GoBack"/>
            <w:bookmarkEnd w:id="0"/>
            <w:r w:rsidRPr="002C4FCD">
              <w:t>:</w:t>
            </w:r>
          </w:p>
          <w:p w:rsidR="002C4FCD" w:rsidRPr="002C4FCD" w:rsidRDefault="002C4FCD" w:rsidP="002C4FCD">
            <w:pPr>
              <w:pStyle w:val="NoSpacing"/>
            </w:pPr>
            <w:r w:rsidRPr="002C4FCD">
              <w:t>10 - 15 mg/kg</w:t>
            </w:r>
          </w:p>
        </w:tc>
        <w:tc>
          <w:tcPr>
            <w:tcW w:w="2552" w:type="dxa"/>
          </w:tcPr>
          <w:p w:rsidR="002C4FCD" w:rsidRPr="002C4FCD" w:rsidRDefault="002C4FCD" w:rsidP="002C4FCD">
            <w:pPr>
              <w:pStyle w:val="NoSpacing"/>
            </w:pPr>
            <w:r w:rsidRPr="002C4FCD">
              <w:t>The manufacturer recommends not using</w:t>
            </w:r>
          </w:p>
          <w:p w:rsidR="00DE5721" w:rsidRPr="002C4FCD" w:rsidRDefault="002C4FCD" w:rsidP="002C4FCD">
            <w:pPr>
              <w:pStyle w:val="NoSpacing"/>
            </w:pPr>
            <w:r w:rsidRPr="002C4FCD">
              <w:t>Praziquantel in puppies less than 4 weeks old or in kittens le</w:t>
            </w:r>
            <w:r>
              <w:t xml:space="preserve">ss than 6 weeks old. However, a </w:t>
            </w:r>
            <w:r w:rsidRPr="002C4FCD">
              <w:t>combination product containing praziquantel and febantel from th</w:t>
            </w:r>
            <w:r>
              <w:t xml:space="preserve">e same manufacturer is approved </w:t>
            </w:r>
            <w:r w:rsidRPr="002C4FCD">
              <w:t>for use in puppies and kittens of all ages. No other contraindications are listed for th</w:t>
            </w:r>
            <w:r>
              <w:t xml:space="preserve">is compound </w:t>
            </w:r>
            <w:r w:rsidRPr="002C4FCD">
              <w:t>by the manufacturer. In humans, praziquantel is contraindicated in</w:t>
            </w:r>
            <w:r>
              <w:t xml:space="preserve"> patients hypersensitive to the </w:t>
            </w:r>
            <w:r w:rsidRPr="002C4FCD">
              <w:t>drug. Praziquantel is considered to be safe to use in pregnant dogs or cats.</w:t>
            </w:r>
          </w:p>
        </w:tc>
        <w:tc>
          <w:tcPr>
            <w:tcW w:w="1590" w:type="dxa"/>
          </w:tcPr>
          <w:p w:rsidR="00DE5721" w:rsidRPr="004232E7" w:rsidRDefault="00B83CC1" w:rsidP="00DE5721">
            <w:pPr>
              <w:pStyle w:val="NoSpacing"/>
            </w:pPr>
            <w:r w:rsidRPr="004232E7">
              <w:t>Oral</w:t>
            </w:r>
          </w:p>
        </w:tc>
        <w:tc>
          <w:tcPr>
            <w:tcW w:w="2662" w:type="dxa"/>
          </w:tcPr>
          <w:p w:rsidR="00DE5721" w:rsidRPr="004232E7" w:rsidRDefault="00B83CC1" w:rsidP="00DE5721">
            <w:pPr>
              <w:pStyle w:val="NoSpacing"/>
            </w:pPr>
            <w:r w:rsidRPr="004232E7">
              <w:t xml:space="preserve">Absorption is rapid, and distributed to all organs. </w:t>
            </w:r>
          </w:p>
          <w:p w:rsidR="00B83CC1" w:rsidRPr="004232E7" w:rsidRDefault="00B83CC1" w:rsidP="00DE5721">
            <w:pPr>
              <w:pStyle w:val="NoSpacing"/>
            </w:pPr>
            <w:r w:rsidRPr="004232E7">
              <w:t xml:space="preserve">Rapidly metabolised in liver to inactive form </w:t>
            </w:r>
          </w:p>
        </w:tc>
      </w:tr>
    </w:tbl>
    <w:p w:rsidR="00CC4A9B" w:rsidRPr="004232E7" w:rsidRDefault="00CC4A9B"/>
    <w:sectPr w:rsidR="00CC4A9B" w:rsidRPr="004232E7" w:rsidSect="004829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B"/>
    <w:rsid w:val="001E0143"/>
    <w:rsid w:val="002C4FCD"/>
    <w:rsid w:val="002E1255"/>
    <w:rsid w:val="00307365"/>
    <w:rsid w:val="004232E7"/>
    <w:rsid w:val="00482951"/>
    <w:rsid w:val="0060348B"/>
    <w:rsid w:val="00B83CC1"/>
    <w:rsid w:val="00CC4A9B"/>
    <w:rsid w:val="00DC1506"/>
    <w:rsid w:val="00D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951"/>
    <w:pPr>
      <w:spacing w:line="240" w:lineRule="auto"/>
    </w:pPr>
  </w:style>
  <w:style w:type="paragraph" w:customStyle="1" w:styleId="Default">
    <w:name w:val="Default"/>
    <w:rsid w:val="00DE572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951"/>
    <w:pPr>
      <w:spacing w:line="240" w:lineRule="auto"/>
    </w:pPr>
  </w:style>
  <w:style w:type="paragraph" w:customStyle="1" w:styleId="Default">
    <w:name w:val="Default"/>
    <w:rsid w:val="00DE572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10</cp:revision>
  <dcterms:created xsi:type="dcterms:W3CDTF">2013-10-02T08:19:00Z</dcterms:created>
  <dcterms:modified xsi:type="dcterms:W3CDTF">2013-10-03T15:52:00Z</dcterms:modified>
</cp:coreProperties>
</file>