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842"/>
        <w:gridCol w:w="2835"/>
        <w:gridCol w:w="2410"/>
        <w:gridCol w:w="1701"/>
        <w:gridCol w:w="2693"/>
      </w:tblGrid>
      <w:tr w:rsidR="00FA65E1" w:rsidRPr="00F1185D" w:rsidTr="00814187">
        <w:trPr>
          <w:trHeight w:val="292"/>
        </w:trPr>
        <w:tc>
          <w:tcPr>
            <w:tcW w:w="1560" w:type="dxa"/>
          </w:tcPr>
          <w:p w:rsidR="00EC38A6" w:rsidRPr="00F1185D" w:rsidRDefault="00EC38A6" w:rsidP="00EF2EDA">
            <w:pPr>
              <w:pStyle w:val="NoSpacing"/>
              <w:rPr>
                <w:b/>
              </w:rPr>
            </w:pPr>
            <w:r w:rsidRPr="00F1185D">
              <w:rPr>
                <w:b/>
              </w:rPr>
              <w:t>Name Of Drug</w:t>
            </w:r>
          </w:p>
        </w:tc>
        <w:tc>
          <w:tcPr>
            <w:tcW w:w="2268" w:type="dxa"/>
          </w:tcPr>
          <w:p w:rsidR="00EC38A6" w:rsidRPr="00F1185D" w:rsidRDefault="00EC38A6" w:rsidP="00EF2EDA">
            <w:pPr>
              <w:pStyle w:val="NoSpacing"/>
              <w:rPr>
                <w:b/>
              </w:rPr>
            </w:pPr>
            <w:r w:rsidRPr="00F1185D">
              <w:rPr>
                <w:b/>
              </w:rPr>
              <w:t>Mechanism of Action</w:t>
            </w:r>
          </w:p>
        </w:tc>
        <w:tc>
          <w:tcPr>
            <w:tcW w:w="1842" w:type="dxa"/>
          </w:tcPr>
          <w:p w:rsidR="00EC38A6" w:rsidRPr="00F1185D" w:rsidRDefault="00EC38A6" w:rsidP="00EF2EDA">
            <w:pPr>
              <w:pStyle w:val="NoSpacing"/>
              <w:rPr>
                <w:b/>
              </w:rPr>
            </w:pPr>
            <w:r w:rsidRPr="00F1185D">
              <w:rPr>
                <w:b/>
              </w:rPr>
              <w:t>Parasite it affects (lifecycle)</w:t>
            </w:r>
          </w:p>
        </w:tc>
        <w:tc>
          <w:tcPr>
            <w:tcW w:w="2835" w:type="dxa"/>
          </w:tcPr>
          <w:p w:rsidR="00EC38A6" w:rsidRPr="00F1185D" w:rsidRDefault="00EC38A6" w:rsidP="00EF2EDA">
            <w:pPr>
              <w:pStyle w:val="NoSpacing"/>
              <w:rPr>
                <w:b/>
              </w:rPr>
            </w:pPr>
            <w:r w:rsidRPr="00F1185D">
              <w:rPr>
                <w:b/>
              </w:rPr>
              <w:t xml:space="preserve">Dose </w:t>
            </w:r>
          </w:p>
        </w:tc>
        <w:tc>
          <w:tcPr>
            <w:tcW w:w="2410" w:type="dxa"/>
          </w:tcPr>
          <w:p w:rsidR="00EC38A6" w:rsidRPr="00F1185D" w:rsidRDefault="00EC38A6" w:rsidP="00EF2EDA">
            <w:pPr>
              <w:pStyle w:val="NoSpacing"/>
              <w:rPr>
                <w:b/>
              </w:rPr>
            </w:pPr>
            <w:r w:rsidRPr="00F1185D">
              <w:rPr>
                <w:b/>
              </w:rPr>
              <w:t>Contraindications</w:t>
            </w:r>
            <w:r w:rsidR="00C22DA6" w:rsidRPr="00F1185D">
              <w:rPr>
                <w:b/>
              </w:rPr>
              <w:t xml:space="preserve"> and Side effects</w:t>
            </w:r>
          </w:p>
        </w:tc>
        <w:tc>
          <w:tcPr>
            <w:tcW w:w="1701" w:type="dxa"/>
          </w:tcPr>
          <w:p w:rsidR="00EC38A6" w:rsidRPr="00F1185D" w:rsidRDefault="00C22DA6" w:rsidP="00EF2EDA">
            <w:pPr>
              <w:pStyle w:val="NoSpacing"/>
              <w:rPr>
                <w:b/>
              </w:rPr>
            </w:pPr>
            <w:r w:rsidRPr="00F1185D">
              <w:rPr>
                <w:b/>
              </w:rPr>
              <w:t>Route of Administration</w:t>
            </w:r>
          </w:p>
        </w:tc>
        <w:tc>
          <w:tcPr>
            <w:tcW w:w="2693" w:type="dxa"/>
          </w:tcPr>
          <w:p w:rsidR="00EC38A6" w:rsidRPr="00F1185D" w:rsidRDefault="00EC38A6" w:rsidP="00EF2EDA">
            <w:pPr>
              <w:pStyle w:val="NoSpacing"/>
              <w:rPr>
                <w:b/>
              </w:rPr>
            </w:pPr>
            <w:r w:rsidRPr="00F1185D">
              <w:rPr>
                <w:b/>
              </w:rPr>
              <w:t>Other Information</w:t>
            </w:r>
          </w:p>
        </w:tc>
      </w:tr>
      <w:tr w:rsidR="00FA65E1" w:rsidRPr="00EF2EDA" w:rsidTr="00814187">
        <w:trPr>
          <w:trHeight w:val="292"/>
        </w:trPr>
        <w:tc>
          <w:tcPr>
            <w:tcW w:w="1560" w:type="dxa"/>
          </w:tcPr>
          <w:p w:rsidR="00DD3865" w:rsidRPr="00EF2EDA" w:rsidRDefault="008E7C56" w:rsidP="00EF2EDA">
            <w:pPr>
              <w:pStyle w:val="NoSpacing"/>
            </w:pPr>
            <w:r w:rsidRPr="00EF2EDA">
              <w:t xml:space="preserve">Levamisole (Levasole®, Tramisol®, </w:t>
            </w:r>
            <w:proofErr w:type="spellStart"/>
            <w:r w:rsidRPr="00EF2EDA">
              <w:t>Tolalon</w:t>
            </w:r>
            <w:proofErr w:type="spellEnd"/>
            <w:r w:rsidRPr="00EF2EDA">
              <w:t>®, Citarin-L Spot-on®)</w:t>
            </w:r>
          </w:p>
        </w:tc>
        <w:tc>
          <w:tcPr>
            <w:tcW w:w="2268" w:type="dxa"/>
          </w:tcPr>
          <w:p w:rsidR="00403B82" w:rsidRPr="00EF2EDA" w:rsidRDefault="00C26B11" w:rsidP="00C26B11">
            <w:pPr>
              <w:pStyle w:val="NoSpacing"/>
            </w:pPr>
            <w:r>
              <w:t>Acts as a direct cholinergic</w:t>
            </w:r>
            <w:r w:rsidR="00D84EEA">
              <w:t xml:space="preserve"> (ganglionic stimulant/ cholinomimetic)</w:t>
            </w:r>
            <w:r>
              <w:t xml:space="preserve"> and paralyzes nematodes by sustained muscle contractions (spastic paralysis)</w:t>
            </w:r>
          </w:p>
        </w:tc>
        <w:tc>
          <w:tcPr>
            <w:tcW w:w="1842" w:type="dxa"/>
          </w:tcPr>
          <w:p w:rsidR="002E0D87" w:rsidRDefault="003D1FA5" w:rsidP="00EF2EDA">
            <w:pPr>
              <w:pStyle w:val="NoSpacing"/>
            </w:pPr>
            <w:r>
              <w:t>Sheep</w:t>
            </w:r>
            <w:r w:rsidR="002D2969">
              <w:t>: all major GI parasites, adult and larvae</w:t>
            </w:r>
            <w:r w:rsidR="00C03B8A">
              <w:t xml:space="preserve">. Effective for both mature and immature lungworms </w:t>
            </w:r>
          </w:p>
          <w:p w:rsidR="003D1FA5" w:rsidRDefault="003D1FA5" w:rsidP="00EF2EDA">
            <w:pPr>
              <w:pStyle w:val="NoSpacing"/>
            </w:pPr>
          </w:p>
          <w:p w:rsidR="003D1FA5" w:rsidRDefault="003D1FA5" w:rsidP="00EF2EDA">
            <w:pPr>
              <w:pStyle w:val="NoSpacing"/>
            </w:pPr>
            <w:r>
              <w:t>Cattle: all major GI parasites, adult and larvae. Effective for both mature and immature lungworms. Also effective for Thelazia (eyeworm)</w:t>
            </w:r>
          </w:p>
          <w:p w:rsidR="002D2969" w:rsidRDefault="002D2969" w:rsidP="00EF2EDA">
            <w:pPr>
              <w:pStyle w:val="NoSpacing"/>
            </w:pPr>
          </w:p>
          <w:p w:rsidR="002D2969" w:rsidRDefault="002E0D87" w:rsidP="00EF2EDA">
            <w:pPr>
              <w:pStyle w:val="NoSpacing"/>
            </w:pPr>
            <w:r>
              <w:t>Swine</w:t>
            </w:r>
            <w:r w:rsidR="00A2065D">
              <w:t>: 99% effective for ascarids, threadworms ad lungworms</w:t>
            </w:r>
            <w:r w:rsidR="00831B42">
              <w:t>. Nodular worms and kidney worms also expelled</w:t>
            </w:r>
          </w:p>
          <w:p w:rsidR="0033624A" w:rsidRDefault="0033624A" w:rsidP="00EF2EDA">
            <w:pPr>
              <w:pStyle w:val="NoSpacing"/>
            </w:pPr>
          </w:p>
          <w:p w:rsidR="002E0D87" w:rsidRDefault="002E0D87" w:rsidP="00EF2EDA">
            <w:pPr>
              <w:pStyle w:val="NoSpacing"/>
            </w:pPr>
            <w:r>
              <w:t>Horse</w:t>
            </w:r>
            <w:r w:rsidR="000B3A2E">
              <w:t xml:space="preserve">: questionable efficacy against </w:t>
            </w:r>
            <w:r w:rsidR="000B3A2E">
              <w:lastRenderedPageBreak/>
              <w:t>most strongyles</w:t>
            </w:r>
          </w:p>
          <w:p w:rsidR="0033624A" w:rsidRDefault="0033624A" w:rsidP="00EF2EDA">
            <w:pPr>
              <w:pStyle w:val="NoSpacing"/>
            </w:pPr>
          </w:p>
          <w:p w:rsidR="002E0D87" w:rsidRDefault="002E0D87" w:rsidP="00EF2EDA">
            <w:pPr>
              <w:pStyle w:val="NoSpacing"/>
            </w:pPr>
            <w:r>
              <w:t>Chickens</w:t>
            </w:r>
          </w:p>
          <w:p w:rsidR="0033624A" w:rsidRDefault="0033624A" w:rsidP="00EF2EDA">
            <w:pPr>
              <w:pStyle w:val="NoSpacing"/>
            </w:pPr>
          </w:p>
          <w:p w:rsidR="002E0D87" w:rsidRPr="00EF2EDA" w:rsidRDefault="002E0D87" w:rsidP="00EF2EDA">
            <w:pPr>
              <w:pStyle w:val="NoSpacing"/>
            </w:pPr>
            <w:r>
              <w:t>Dogs</w:t>
            </w:r>
            <w:r w:rsidR="0033624A">
              <w:t>:</w:t>
            </w:r>
            <w:r w:rsidR="00FA65E1">
              <w:t xml:space="preserve"> Ascarids and hookworms</w:t>
            </w:r>
            <w:r w:rsidR="004C5B6B">
              <w:t>, heartworms</w:t>
            </w:r>
          </w:p>
        </w:tc>
        <w:tc>
          <w:tcPr>
            <w:tcW w:w="2835" w:type="dxa"/>
          </w:tcPr>
          <w:p w:rsidR="00814187" w:rsidRPr="00814187" w:rsidRDefault="00814187" w:rsidP="00814187">
            <w:pPr>
              <w:pStyle w:val="NoSpacing"/>
            </w:pPr>
            <w:r w:rsidRPr="00814187">
              <w:lastRenderedPageBreak/>
              <w:t>Dogs:</w:t>
            </w:r>
          </w:p>
          <w:p w:rsidR="00AE3917" w:rsidRPr="00814187" w:rsidRDefault="00814187" w:rsidP="00814187">
            <w:pPr>
              <w:pStyle w:val="NoSpacing"/>
            </w:pPr>
            <w:r w:rsidRPr="00814187">
              <w:t>Immune stimulant: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-For recurrent cutaneous infections: 2.2 mg/kg PO every other day, with appropriate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antimicrobial therapy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 xml:space="preserve">-For adjunctive therapy in dogs with chronic </w:t>
            </w:r>
            <w:proofErr w:type="spellStart"/>
            <w:r w:rsidRPr="00814187">
              <w:t>pyoderma</w:t>
            </w:r>
            <w:proofErr w:type="spellEnd"/>
            <w:r w:rsidRPr="00814187">
              <w:t>: 0.5 - 1.5 mg/kg PO 2-3 times a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Week</w:t>
            </w:r>
          </w:p>
          <w:p w:rsidR="00814187" w:rsidRPr="00814187" w:rsidRDefault="00814187" w:rsidP="00814187">
            <w:pPr>
              <w:pStyle w:val="NoSpacing"/>
            </w:pPr>
          </w:p>
          <w:p w:rsidR="00814187" w:rsidRPr="00814187" w:rsidRDefault="00814187" w:rsidP="00814187">
            <w:pPr>
              <w:pStyle w:val="NoSpacing"/>
            </w:pPr>
            <w:r w:rsidRPr="00814187">
              <w:t>Microfilaricide: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10 mg/kg PO once a day for 6-10 days.</w:t>
            </w:r>
          </w:p>
          <w:p w:rsidR="00814187" w:rsidRPr="00814187" w:rsidRDefault="00814187" w:rsidP="00814187">
            <w:pPr>
              <w:pStyle w:val="NoSpacing"/>
            </w:pPr>
          </w:p>
          <w:p w:rsidR="00814187" w:rsidRPr="00814187" w:rsidRDefault="00814187" w:rsidP="00814187">
            <w:pPr>
              <w:pStyle w:val="NoSpacing"/>
            </w:pPr>
            <w:r w:rsidRPr="00814187">
              <w:t>Lungworms: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 xml:space="preserve">-For </w:t>
            </w:r>
            <w:proofErr w:type="spellStart"/>
            <w:r w:rsidRPr="00814187">
              <w:t>Crenosoma</w:t>
            </w:r>
            <w:proofErr w:type="spellEnd"/>
            <w:r w:rsidRPr="00814187">
              <w:t xml:space="preserve"> vulpis: 8 mg/kg once.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-For Capillaria: 7-12 mg/kg once daily PO for 3-7 days.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 xml:space="preserve">-For Filaroides </w:t>
            </w:r>
            <w:proofErr w:type="spellStart"/>
            <w:r w:rsidRPr="00814187">
              <w:t>osleri</w:t>
            </w:r>
            <w:proofErr w:type="spellEnd"/>
            <w:r w:rsidRPr="00814187">
              <w:t>: 7-12 mg/kg once daily PO for 20-45 days.</w:t>
            </w:r>
          </w:p>
          <w:p w:rsidR="00814187" w:rsidRPr="00814187" w:rsidRDefault="00814187" w:rsidP="00814187">
            <w:pPr>
              <w:pStyle w:val="NoSpacing"/>
            </w:pPr>
          </w:p>
          <w:p w:rsidR="00814187" w:rsidRPr="00814187" w:rsidRDefault="00814187" w:rsidP="00814187">
            <w:pPr>
              <w:pStyle w:val="NoSpacing"/>
            </w:pPr>
            <w:r w:rsidRPr="00814187">
              <w:t>Cats: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For the treatment of lungworms: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20 - 40 mg/kg PO every other day for 5-6 treatments</w:t>
            </w:r>
          </w:p>
          <w:p w:rsidR="00814187" w:rsidRPr="00814187" w:rsidRDefault="00814187" w:rsidP="00814187">
            <w:pPr>
              <w:pStyle w:val="NoSpacing"/>
            </w:pPr>
          </w:p>
          <w:p w:rsidR="00814187" w:rsidRPr="00814187" w:rsidRDefault="00814187" w:rsidP="00814187">
            <w:pPr>
              <w:pStyle w:val="NoSpacing"/>
            </w:pPr>
            <w:proofErr w:type="spellStart"/>
            <w:r w:rsidRPr="00814187">
              <w:lastRenderedPageBreak/>
              <w:t>Ollulanus</w:t>
            </w:r>
            <w:proofErr w:type="spellEnd"/>
            <w:r w:rsidRPr="00814187">
              <w:t xml:space="preserve"> </w:t>
            </w:r>
            <w:proofErr w:type="spellStart"/>
            <w:r w:rsidRPr="00814187">
              <w:t>tricuspis</w:t>
            </w:r>
            <w:proofErr w:type="spellEnd"/>
            <w:r w:rsidRPr="00814187">
              <w:t>: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5 mg/kg SQ</w:t>
            </w:r>
          </w:p>
          <w:p w:rsidR="00814187" w:rsidRPr="00814187" w:rsidRDefault="00814187" w:rsidP="00814187">
            <w:pPr>
              <w:pStyle w:val="NoSpacing"/>
            </w:pPr>
          </w:p>
          <w:p w:rsidR="00814187" w:rsidRPr="00814187" w:rsidRDefault="00814187" w:rsidP="00814187">
            <w:pPr>
              <w:pStyle w:val="NoSpacing"/>
            </w:pPr>
            <w:r w:rsidRPr="00814187">
              <w:t>Cattle:</w:t>
            </w:r>
          </w:p>
          <w:p w:rsidR="00814187" w:rsidRPr="00814187" w:rsidRDefault="00814187" w:rsidP="00814187">
            <w:pPr>
              <w:pStyle w:val="NoSpacing"/>
            </w:pPr>
            <w:r w:rsidRPr="00814187">
              <w:t>susceptible nematodes:</w:t>
            </w:r>
          </w:p>
          <w:p w:rsidR="00814187" w:rsidRDefault="00814187" w:rsidP="00814187">
            <w:pPr>
              <w:pStyle w:val="NoSpacing"/>
            </w:pPr>
            <w:r w:rsidRPr="00814187">
              <w:t xml:space="preserve">For removal of mature and immature Dictyocaulus </w:t>
            </w:r>
            <w:proofErr w:type="spellStart"/>
            <w:r w:rsidRPr="00814187">
              <w:t>vivapurus</w:t>
            </w:r>
            <w:proofErr w:type="spellEnd"/>
            <w:r w:rsidRPr="00814187">
              <w:t>: 5.5 - 11 mg/kg PO, either given in feed or as a drench or oral bolus. May also be administer</w:t>
            </w:r>
            <w:r w:rsidR="009202A9">
              <w:t xml:space="preserve">ed SQ at 3.3 – 8 </w:t>
            </w:r>
            <w:r w:rsidRPr="00814187">
              <w:t>mg/kg</w:t>
            </w:r>
          </w:p>
          <w:p w:rsidR="009202A9" w:rsidRDefault="009202A9" w:rsidP="00814187">
            <w:pPr>
              <w:pStyle w:val="NoSpacing"/>
            </w:pPr>
          </w:p>
          <w:p w:rsidR="009202A9" w:rsidRDefault="009202A9" w:rsidP="00814187">
            <w:pPr>
              <w:pStyle w:val="NoSpacing"/>
            </w:pPr>
            <w:r>
              <w:t>Swine:</w:t>
            </w:r>
          </w:p>
          <w:p w:rsidR="009202A9" w:rsidRDefault="009202A9" w:rsidP="00814187">
            <w:pPr>
              <w:pStyle w:val="NoSpacing"/>
              <w:rPr>
                <w:rFonts w:ascii="MSTT31c951" w:hAnsi="MSTT31c951" w:cs="MSTT31c951"/>
                <w:sz w:val="19"/>
                <w:szCs w:val="19"/>
              </w:rPr>
            </w:pPr>
            <w:r>
              <w:rPr>
                <w:rFonts w:ascii="MSTT31c951" w:hAnsi="MSTT31c951" w:cs="MSTT31c951"/>
                <w:sz w:val="19"/>
                <w:szCs w:val="19"/>
              </w:rPr>
              <w:t>For treatment of susceptible nematodes</w:t>
            </w:r>
            <w:r>
              <w:rPr>
                <w:rFonts w:ascii="MSTT31c951" w:hAnsi="MSTT31c951" w:cs="MSTT31c951"/>
                <w:sz w:val="19"/>
                <w:szCs w:val="19"/>
              </w:rPr>
              <w:t>:</w:t>
            </w:r>
          </w:p>
          <w:p w:rsidR="009202A9" w:rsidRDefault="009202A9" w:rsidP="00814187">
            <w:pPr>
              <w:pStyle w:val="NoSpacing"/>
              <w:rPr>
                <w:rFonts w:ascii="MSTT31c76f" w:hAnsi="MSTT31c76f" w:cs="MSTT31c76f"/>
                <w:sz w:val="19"/>
                <w:szCs w:val="19"/>
              </w:rPr>
            </w:pPr>
            <w:r>
              <w:rPr>
                <w:rFonts w:ascii="MSTT31c951" w:hAnsi="MSTT31c951" w:cs="MSTT31c951"/>
                <w:sz w:val="19"/>
                <w:szCs w:val="19"/>
              </w:rPr>
              <w:t xml:space="preserve">For removal of mature and immature </w:t>
            </w:r>
            <w:proofErr w:type="spellStart"/>
            <w:r>
              <w:rPr>
                <w:rFonts w:ascii="MSTT31c76f" w:hAnsi="MSTT31c76f" w:cs="MSTT31c76f"/>
                <w:sz w:val="19"/>
                <w:szCs w:val="19"/>
              </w:rPr>
              <w:t>Metastrongylus</w:t>
            </w:r>
            <w:proofErr w:type="spellEnd"/>
            <w:r>
              <w:rPr>
                <w:rFonts w:ascii="MSTT31c76f" w:hAnsi="MSTT31c76f" w:cs="MSTT31c76f"/>
                <w:sz w:val="19"/>
                <w:szCs w:val="19"/>
              </w:rPr>
              <w:t xml:space="preserve">: </w:t>
            </w:r>
          </w:p>
          <w:p w:rsidR="009202A9" w:rsidRDefault="009202A9" w:rsidP="00814187">
            <w:pPr>
              <w:pStyle w:val="NoSpacing"/>
              <w:rPr>
                <w:rFonts w:ascii="MSTT31c951" w:hAnsi="MSTT31c951" w:cs="MSTT31c951"/>
                <w:sz w:val="19"/>
                <w:szCs w:val="19"/>
              </w:rPr>
            </w:pPr>
            <w:r>
              <w:rPr>
                <w:rFonts w:ascii="MSTT31c951" w:hAnsi="MSTT31c951" w:cs="MSTT31c951"/>
                <w:sz w:val="19"/>
                <w:szCs w:val="19"/>
              </w:rPr>
              <w:t>8 mg/kg PO in feed or water.</w:t>
            </w:r>
          </w:p>
          <w:p w:rsidR="009202A9" w:rsidRDefault="009202A9" w:rsidP="00814187">
            <w:pPr>
              <w:pStyle w:val="NoSpacing"/>
              <w:rPr>
                <w:rFonts w:ascii="MSTT31c951" w:hAnsi="MSTT31c951" w:cs="MSTT31c951"/>
                <w:sz w:val="19"/>
                <w:szCs w:val="19"/>
              </w:rPr>
            </w:pPr>
          </w:p>
          <w:p w:rsidR="009202A9" w:rsidRDefault="009202A9" w:rsidP="00814187">
            <w:pPr>
              <w:pStyle w:val="NoSpacing"/>
              <w:rPr>
                <w:rFonts w:ascii="MSTT31c951" w:hAnsi="MSTT31c951" w:cs="MSTT31c951"/>
                <w:sz w:val="19"/>
                <w:szCs w:val="19"/>
              </w:rPr>
            </w:pPr>
            <w:r>
              <w:rPr>
                <w:rFonts w:ascii="MSTT31c951" w:hAnsi="MSTT31c951" w:cs="MSTT31c951"/>
                <w:sz w:val="19"/>
                <w:szCs w:val="19"/>
              </w:rPr>
              <w:t>Sheep and Goat:</w:t>
            </w:r>
          </w:p>
          <w:p w:rsidR="009202A9" w:rsidRPr="00814187" w:rsidRDefault="009202A9" w:rsidP="00814187">
            <w:pPr>
              <w:pStyle w:val="NoSpacing"/>
            </w:pPr>
            <w:r>
              <w:rPr>
                <w:rFonts w:ascii="MSTT31c951" w:hAnsi="MSTT31c951" w:cs="MSTT31c951"/>
                <w:sz w:val="19"/>
                <w:szCs w:val="19"/>
              </w:rPr>
              <w:t xml:space="preserve">For removal of mature and immature </w:t>
            </w:r>
            <w:r>
              <w:rPr>
                <w:rFonts w:ascii="MSTT31c76f" w:hAnsi="MSTT31c76f" w:cs="MSTT31c76f"/>
                <w:sz w:val="19"/>
                <w:szCs w:val="19"/>
              </w:rPr>
              <w:t xml:space="preserve">Dictyocaulus </w:t>
            </w:r>
            <w:proofErr w:type="spellStart"/>
            <w:r>
              <w:rPr>
                <w:rFonts w:ascii="MSTT31c76f" w:hAnsi="MSTT31c76f" w:cs="MSTT31c76f"/>
                <w:sz w:val="19"/>
                <w:szCs w:val="19"/>
              </w:rPr>
              <w:t>vivapurus</w:t>
            </w:r>
            <w:proofErr w:type="spellEnd"/>
            <w:r>
              <w:rPr>
                <w:rFonts w:ascii="MSTT31c951" w:hAnsi="MSTT31c951" w:cs="MSTT31c951"/>
                <w:sz w:val="19"/>
                <w:szCs w:val="19"/>
              </w:rPr>
              <w:t>: 8 mg/kg PO.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D3865" w:rsidRDefault="00AE3917" w:rsidP="00EF2EDA">
            <w:pPr>
              <w:pStyle w:val="NoSpacing"/>
            </w:pPr>
            <w:r>
              <w:lastRenderedPageBreak/>
              <w:t>Vomiting and other adverse reactions common</w:t>
            </w:r>
          </w:p>
          <w:p w:rsidR="00814187" w:rsidRDefault="00814187" w:rsidP="00EF2EDA">
            <w:pPr>
              <w:pStyle w:val="NoSpacing"/>
            </w:pPr>
          </w:p>
          <w:p w:rsidR="00814187" w:rsidRPr="00814187" w:rsidRDefault="00814187" w:rsidP="00814187">
            <w:pPr>
              <w:pStyle w:val="NoSpacing"/>
            </w:pPr>
            <w:r w:rsidRPr="00814187">
              <w:t>Levamisole is contraindicated in lactating animals (not approved).</w:t>
            </w:r>
            <w:r>
              <w:t xml:space="preserve"> </w:t>
            </w:r>
            <w:r w:rsidRPr="00814187">
              <w:t>It should be used cautiously, if at all, in animals that ar</w:t>
            </w:r>
            <w:r>
              <w:t xml:space="preserve">e severely debilitated, or have </w:t>
            </w:r>
            <w:r w:rsidRPr="00814187">
              <w:t>significant renal or hepatic impairment. Use cautiously or, preferabl</w:t>
            </w:r>
            <w:r>
              <w:t xml:space="preserve">y, delay use in cattle that are </w:t>
            </w:r>
            <w:r w:rsidRPr="00814187">
              <w:t>stressed due to vaccination, dehorning or castration.</w:t>
            </w:r>
          </w:p>
          <w:p w:rsidR="00814187" w:rsidRPr="00EF2EDA" w:rsidRDefault="00814187" w:rsidP="00814187">
            <w:pPr>
              <w:pStyle w:val="NoSpacing"/>
            </w:pPr>
            <w:r>
              <w:t xml:space="preserve">There is no </w:t>
            </w:r>
            <w:r w:rsidRPr="00814187">
              <w:t>information regarding the safety of this drug in pregnant animals. Although Levamisole</w:t>
            </w:r>
            <w:r>
              <w:t xml:space="preserve"> </w:t>
            </w:r>
            <w:r w:rsidRPr="00814187">
              <w:t>is considered relatively safe to use in large animals that are preg</w:t>
            </w:r>
            <w:r>
              <w:t xml:space="preserve">nant, use only if the potential </w:t>
            </w:r>
            <w:r w:rsidRPr="00814187">
              <w:t>benefits outweigh the risks.</w:t>
            </w:r>
          </w:p>
        </w:tc>
        <w:tc>
          <w:tcPr>
            <w:tcW w:w="1701" w:type="dxa"/>
          </w:tcPr>
          <w:p w:rsidR="00DD3865" w:rsidRDefault="0055531A" w:rsidP="00EF2EDA">
            <w:pPr>
              <w:pStyle w:val="NoSpacing"/>
            </w:pPr>
            <w:r>
              <w:t>Oral</w:t>
            </w:r>
          </w:p>
          <w:p w:rsidR="0055531A" w:rsidRDefault="0055531A" w:rsidP="00EF2EDA">
            <w:pPr>
              <w:pStyle w:val="NoSpacing"/>
            </w:pPr>
            <w:r>
              <w:t>Parenteral</w:t>
            </w:r>
          </w:p>
          <w:p w:rsidR="0055531A" w:rsidRDefault="0055531A" w:rsidP="00EF2EDA">
            <w:pPr>
              <w:pStyle w:val="NoSpacing"/>
            </w:pPr>
            <w:r>
              <w:t xml:space="preserve">Topical </w:t>
            </w:r>
          </w:p>
          <w:p w:rsidR="00814187" w:rsidRPr="00EF2EDA" w:rsidRDefault="00814187" w:rsidP="00EF2EDA">
            <w:pPr>
              <w:pStyle w:val="NoSpacing"/>
            </w:pPr>
            <w:r>
              <w:t>Subcutaneous</w:t>
            </w:r>
          </w:p>
        </w:tc>
        <w:tc>
          <w:tcPr>
            <w:tcW w:w="2693" w:type="dxa"/>
          </w:tcPr>
          <w:p w:rsidR="00DD3865" w:rsidRDefault="00403B82" w:rsidP="00403B82">
            <w:pPr>
              <w:pStyle w:val="NoSpacing"/>
            </w:pPr>
            <w:r>
              <w:t xml:space="preserve">May be also used as a immune system modulator by increase T-lymphocytes activation in immunological depressed animals (25% to 33% of anthelminthic dose) </w:t>
            </w:r>
          </w:p>
          <w:p w:rsidR="00FA65E1" w:rsidRDefault="00FA65E1" w:rsidP="00403B82">
            <w:pPr>
              <w:pStyle w:val="NoSpacing"/>
            </w:pPr>
          </w:p>
          <w:p w:rsidR="00C22DA6" w:rsidRDefault="00C22DA6" w:rsidP="00403B82">
            <w:pPr>
              <w:pStyle w:val="NoSpacing"/>
            </w:pPr>
            <w:r>
              <w:t xml:space="preserve">Effective against nematodes of the lungs and GIT </w:t>
            </w:r>
          </w:p>
          <w:p w:rsidR="00FA65E1" w:rsidRDefault="00FA65E1" w:rsidP="00403B82">
            <w:pPr>
              <w:pStyle w:val="NoSpacing"/>
            </w:pPr>
          </w:p>
          <w:p w:rsidR="00FA65E1" w:rsidRPr="00EF2EDA" w:rsidRDefault="00FA65E1" w:rsidP="00403B82">
            <w:pPr>
              <w:pStyle w:val="NoSpacing"/>
            </w:pPr>
            <w:r>
              <w:t xml:space="preserve">Not effective against canine whipworms </w:t>
            </w:r>
          </w:p>
        </w:tc>
      </w:tr>
    </w:tbl>
    <w:p w:rsidR="00CC4A9B" w:rsidRPr="00EF2EDA" w:rsidRDefault="00CC4A9B" w:rsidP="00EF2EDA">
      <w:pPr>
        <w:pStyle w:val="NoSpacing"/>
      </w:pPr>
    </w:p>
    <w:sectPr w:rsidR="00CC4A9B" w:rsidRPr="00EF2EDA" w:rsidSect="00D8645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TT31c95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TT31c76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A6"/>
    <w:rsid w:val="00045ECE"/>
    <w:rsid w:val="000B3A2E"/>
    <w:rsid w:val="002D2969"/>
    <w:rsid w:val="002E0D87"/>
    <w:rsid w:val="0033624A"/>
    <w:rsid w:val="003D1FA5"/>
    <w:rsid w:val="00403B82"/>
    <w:rsid w:val="00424915"/>
    <w:rsid w:val="004C5B6B"/>
    <w:rsid w:val="0055531A"/>
    <w:rsid w:val="00814187"/>
    <w:rsid w:val="00831B42"/>
    <w:rsid w:val="008E7C56"/>
    <w:rsid w:val="009202A9"/>
    <w:rsid w:val="00A2065D"/>
    <w:rsid w:val="00AE3917"/>
    <w:rsid w:val="00B17A85"/>
    <w:rsid w:val="00C03B8A"/>
    <w:rsid w:val="00C22DA6"/>
    <w:rsid w:val="00C26B11"/>
    <w:rsid w:val="00C271E2"/>
    <w:rsid w:val="00CC4A9B"/>
    <w:rsid w:val="00D84EEA"/>
    <w:rsid w:val="00D86459"/>
    <w:rsid w:val="00DD3865"/>
    <w:rsid w:val="00DF05E2"/>
    <w:rsid w:val="00EC38A6"/>
    <w:rsid w:val="00EF2EDA"/>
    <w:rsid w:val="00F1185D"/>
    <w:rsid w:val="00FA6160"/>
    <w:rsid w:val="00F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A6"/>
  </w:style>
  <w:style w:type="paragraph" w:styleId="Heading1">
    <w:name w:val="heading 1"/>
    <w:basedOn w:val="Normal"/>
    <w:next w:val="Normal"/>
    <w:link w:val="Heading1Char"/>
    <w:uiPriority w:val="9"/>
    <w:qFormat/>
    <w:rsid w:val="00814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386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D3865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4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A6"/>
  </w:style>
  <w:style w:type="paragraph" w:styleId="Heading1">
    <w:name w:val="heading 1"/>
    <w:basedOn w:val="Normal"/>
    <w:next w:val="Normal"/>
    <w:link w:val="Heading1Char"/>
    <w:uiPriority w:val="9"/>
    <w:qFormat/>
    <w:rsid w:val="00814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386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D3865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4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Kin</cp:lastModifiedBy>
  <cp:revision>30</cp:revision>
  <dcterms:created xsi:type="dcterms:W3CDTF">2013-09-28T20:52:00Z</dcterms:created>
  <dcterms:modified xsi:type="dcterms:W3CDTF">2013-10-03T15:25:00Z</dcterms:modified>
</cp:coreProperties>
</file>