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8B" w:rsidRDefault="003A028B" w:rsidP="003A028B">
      <w:pPr>
        <w:spacing w:before="100" w:beforeAutospacing="1" w:after="100" w:afterAutospacing="1" w:line="240" w:lineRule="auto"/>
        <w:ind w:left="360"/>
        <w:jc w:val="both"/>
        <w:rPr>
          <w:rFonts w:ascii="Times New Roman" w:eastAsia="Times New Roman" w:hAnsi="Times New Roman" w:cs="Times New Roman"/>
          <w:sz w:val="32"/>
          <w:szCs w:val="32"/>
          <w:lang w:eastAsia="es-ES"/>
        </w:rPr>
      </w:pPr>
    </w:p>
    <w:p w:rsidR="003A028B" w:rsidRDefault="003A028B" w:rsidP="003A028B">
      <w:pPr>
        <w:spacing w:before="100" w:beforeAutospacing="1" w:after="100" w:afterAutospacing="1" w:line="240" w:lineRule="auto"/>
        <w:ind w:left="360"/>
        <w:jc w:val="both"/>
        <w:rPr>
          <w:rFonts w:ascii="Times New Roman" w:eastAsia="Times New Roman" w:hAnsi="Times New Roman" w:cs="Times New Roman"/>
          <w:sz w:val="32"/>
          <w:szCs w:val="32"/>
          <w:lang w:eastAsia="es-ES"/>
        </w:rPr>
      </w:pPr>
    </w:p>
    <w:p w:rsidR="003A028B" w:rsidRDefault="003A028B" w:rsidP="003A028B">
      <w:pPr>
        <w:spacing w:before="100" w:beforeAutospacing="1" w:after="100" w:afterAutospacing="1" w:line="240" w:lineRule="auto"/>
        <w:ind w:left="360"/>
        <w:jc w:val="both"/>
        <w:rPr>
          <w:rFonts w:ascii="Times New Roman" w:eastAsia="Times New Roman" w:hAnsi="Times New Roman" w:cs="Times New Roman"/>
          <w:sz w:val="32"/>
          <w:szCs w:val="32"/>
          <w:lang w:eastAsia="es-ES"/>
        </w:rPr>
      </w:pPr>
    </w:p>
    <w:p w:rsidR="003A028B" w:rsidRDefault="003A028B" w:rsidP="003A028B">
      <w:pPr>
        <w:spacing w:before="100" w:beforeAutospacing="1" w:after="100" w:afterAutospacing="1" w:line="240" w:lineRule="auto"/>
        <w:ind w:left="360"/>
        <w:jc w:val="both"/>
        <w:rPr>
          <w:rFonts w:ascii="Times New Roman" w:eastAsia="Times New Roman" w:hAnsi="Times New Roman" w:cs="Times New Roman"/>
          <w:sz w:val="32"/>
          <w:szCs w:val="32"/>
          <w:lang w:eastAsia="es-ES"/>
        </w:rPr>
      </w:pPr>
    </w:p>
    <w:p w:rsidR="003A028B" w:rsidRDefault="003A028B" w:rsidP="003A028B">
      <w:pPr>
        <w:spacing w:before="100" w:beforeAutospacing="1" w:after="100" w:afterAutospacing="1" w:line="240" w:lineRule="auto"/>
        <w:ind w:left="360"/>
        <w:jc w:val="center"/>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DEFINICON DE CONTABILIDAD FINANCIERA</w:t>
      </w:r>
    </w:p>
    <w:p w:rsidR="003A028B" w:rsidRDefault="003A028B" w:rsidP="003A028B">
      <w:pPr>
        <w:spacing w:before="100" w:beforeAutospacing="1" w:after="100" w:afterAutospacing="1" w:line="240" w:lineRule="auto"/>
        <w:ind w:left="360"/>
        <w:jc w:val="both"/>
        <w:rPr>
          <w:rFonts w:ascii="Times New Roman" w:eastAsia="Times New Roman" w:hAnsi="Times New Roman" w:cs="Times New Roman"/>
          <w:sz w:val="32"/>
          <w:szCs w:val="32"/>
          <w:lang w:eastAsia="es-ES"/>
        </w:rPr>
      </w:pPr>
    </w:p>
    <w:p w:rsidR="003A028B" w:rsidRPr="003A028B" w:rsidRDefault="003A028B" w:rsidP="003A028B">
      <w:pPr>
        <w:spacing w:before="100" w:beforeAutospacing="1" w:after="100" w:afterAutospacing="1" w:line="240" w:lineRule="auto"/>
        <w:ind w:left="360"/>
        <w:jc w:val="both"/>
        <w:rPr>
          <w:rFonts w:ascii="Times New Roman" w:eastAsia="Times New Roman" w:hAnsi="Times New Roman" w:cs="Times New Roman"/>
          <w:sz w:val="32"/>
          <w:szCs w:val="32"/>
          <w:lang w:eastAsia="es-ES"/>
        </w:rPr>
      </w:pPr>
      <w:r w:rsidRPr="003A028B">
        <w:rPr>
          <w:rFonts w:ascii="Times New Roman" w:eastAsia="Times New Roman" w:hAnsi="Times New Roman" w:cs="Times New Roman"/>
          <w:sz w:val="32"/>
          <w:szCs w:val="32"/>
          <w:lang w:eastAsia="es-ES"/>
        </w:rPr>
        <w:t>Proporciona la información esencial del funcionamiento y estado financiero de la empresa a todos los agentes económicos interesados (clientes, inversores, proveedores, administraciones públicas, etc.). La legislación de la mayoría de los países regula las normas de la contabilidad financiera para homogeneizar la información resultante y darle mayor fiabilidad y comparabilidad. La contabilidad financiera suele tener poco detalle porque contiene una información muy agregada.</w:t>
      </w:r>
    </w:p>
    <w:p w:rsidR="003A028B" w:rsidRDefault="003A028B"/>
    <w:sectPr w:rsidR="003A028B" w:rsidSect="003A028B">
      <w:pgSz w:w="11906" w:h="16838"/>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C6925"/>
    <w:multiLevelType w:val="multilevel"/>
    <w:tmpl w:val="D606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028B"/>
    <w:rsid w:val="003A028B"/>
    <w:rsid w:val="009F50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441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vicedecanato</dc:creator>
  <cp:keywords/>
  <dc:description/>
  <cp:lastModifiedBy>vicedecanato</cp:lastModifiedBy>
  <cp:revision>1</cp:revision>
  <dcterms:created xsi:type="dcterms:W3CDTF">2013-02-28T10:02:00Z</dcterms:created>
  <dcterms:modified xsi:type="dcterms:W3CDTF">2013-02-28T10:21:00Z</dcterms:modified>
</cp:coreProperties>
</file>