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64" w:rsidRPr="00517E64" w:rsidRDefault="00517E64" w:rsidP="00517E64">
      <w:pPr>
        <w:spacing w:before="120" w:after="100" w:afterAutospacing="1" w:line="312" w:lineRule="atLeast"/>
        <w:outlineLvl w:val="0"/>
        <w:rPr>
          <w:rFonts w:ascii="Helvetica" w:eastAsia="Times New Roman" w:hAnsi="Helvetica" w:cs="Helvetica"/>
          <w:b/>
          <w:bCs/>
          <w:color w:val="4982AC"/>
          <w:kern w:val="36"/>
          <w:sz w:val="41"/>
          <w:szCs w:val="41"/>
          <w:lang w:val="es-ES" w:eastAsia="es-MX"/>
        </w:rPr>
      </w:pPr>
      <w:r w:rsidRPr="00517E64">
        <w:rPr>
          <w:rFonts w:ascii="Helvetica" w:eastAsia="Times New Roman" w:hAnsi="Helvetica" w:cs="Helvetica"/>
          <w:b/>
          <w:bCs/>
          <w:color w:val="4982AC"/>
          <w:kern w:val="36"/>
          <w:sz w:val="41"/>
          <w:szCs w:val="41"/>
          <w:lang w:val="es-ES" w:eastAsia="es-MX"/>
        </w:rPr>
        <w:t>Programa de Materia (Prevista)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7713"/>
      </w:tblGrid>
      <w:tr w:rsidR="00517E64" w:rsidRPr="00517E64" w:rsidTr="00517E64">
        <w:trPr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sz w:val="41"/>
                <w:szCs w:val="41"/>
                <w:lang w:val="es-ES" w:eastAsia="es-MX"/>
              </w:rPr>
              <w:pict/>
            </w:r>
            <w:r w:rsidRPr="00517E6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inline distT="0" distB="0" distL="0" distR="0" wp14:anchorId="40CBB8B6" wp14:editId="6279FA5A">
                      <wp:extent cx="714375" cy="933450"/>
                      <wp:effectExtent l="0" t="0" r="0" b="0"/>
                      <wp:docPr id="2" name="AutoShape 2" descr="http://www.cucea.udg.mx/oferta/img/escud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1437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ción: http://www.cucea.udg.mx/oferta/img/escudo.gif" style="width:56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35" w:type="dxa"/>
            <w:vAlign w:val="center"/>
            <w:hideMark/>
          </w:tcPr>
          <w:p w:rsidR="00517E64" w:rsidRPr="00517E64" w:rsidRDefault="00517E64" w:rsidP="00517E64">
            <w:pPr>
              <w:spacing w:before="120" w:after="100" w:afterAutospacing="1" w:line="312" w:lineRule="atLeast"/>
              <w:jc w:val="center"/>
              <w:outlineLvl w:val="2"/>
              <w:rPr>
                <w:rFonts w:ascii="Helvetica" w:eastAsia="Times New Roman" w:hAnsi="Helvetica" w:cs="Helvetica"/>
                <w:color w:val="4982AC"/>
                <w:sz w:val="27"/>
                <w:szCs w:val="27"/>
                <w:lang w:eastAsia="es-MX"/>
              </w:rPr>
            </w:pPr>
            <w:r w:rsidRPr="00517E64">
              <w:rPr>
                <w:rFonts w:ascii="Helvetica" w:eastAsia="Times New Roman" w:hAnsi="Helvetica" w:cs="Helvetica"/>
                <w:color w:val="4982AC"/>
                <w:sz w:val="27"/>
                <w:szCs w:val="27"/>
                <w:lang w:eastAsia="es-MX"/>
              </w:rPr>
              <w:t>Portal CUCEA</w:t>
            </w:r>
            <w:r w:rsidRPr="00517E64">
              <w:rPr>
                <w:rFonts w:ascii="Helvetica" w:eastAsia="Times New Roman" w:hAnsi="Helvetica" w:cs="Helvetica"/>
                <w:color w:val="4982AC"/>
                <w:sz w:val="27"/>
                <w:szCs w:val="27"/>
                <w:lang w:eastAsia="es-MX"/>
              </w:rPr>
              <w:br/>
              <w:t>Consulta en línea de programas de asignatura</w:t>
            </w:r>
          </w:p>
        </w:tc>
      </w:tr>
    </w:tbl>
    <w:p w:rsidR="00517E64" w:rsidRPr="00517E64" w:rsidRDefault="00517E64" w:rsidP="00517E64">
      <w:pPr>
        <w:spacing w:line="45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1399"/>
        <w:gridCol w:w="1182"/>
        <w:gridCol w:w="862"/>
        <w:gridCol w:w="1431"/>
        <w:gridCol w:w="1889"/>
      </w:tblGrid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1. Nombre de la 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2. Clave de la 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3. Prerrequisitos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4. Seriación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Area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Formación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6. Departamento</w:t>
            </w:r>
          </w:p>
        </w:tc>
      </w:tr>
      <w:tr w:rsidR="00517E64" w:rsidRPr="00517E64" w:rsidTr="00517E64">
        <w:trPr>
          <w:trHeight w:val="3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Metodología de la investigación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CJ127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ningu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Básica común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Ciencias Sociales y Jurídicas </w:t>
            </w:r>
          </w:p>
        </w:tc>
      </w:tr>
    </w:tbl>
    <w:p w:rsidR="00517E64" w:rsidRPr="00517E64" w:rsidRDefault="00517E64" w:rsidP="00517E64">
      <w:pPr>
        <w:spacing w:line="45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737"/>
        <w:gridCol w:w="1299"/>
        <w:gridCol w:w="686"/>
        <w:gridCol w:w="686"/>
        <w:gridCol w:w="598"/>
        <w:gridCol w:w="1124"/>
        <w:gridCol w:w="1745"/>
      </w:tblGrid>
      <w:tr w:rsidR="00517E64" w:rsidRPr="00517E64" w:rsidTr="00517E64">
        <w:trPr>
          <w:tblCellSpacing w:w="7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7. Academia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8. Modalidad de la Asignatura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9. Tipo de Asignatura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10. Carga Horaria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11. Créditos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12. Nivel de Formación</w:t>
            </w:r>
          </w:p>
        </w:tc>
      </w:tr>
      <w:tr w:rsidR="00517E64" w:rsidRPr="00517E64" w:rsidTr="00517E64">
        <w:trPr>
          <w:trHeight w:val="5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Metodología de la Investigación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Presencial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curso-taller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Teoría: 60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Práctica: 40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Total: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licenciatura </w:t>
            </w:r>
          </w:p>
        </w:tc>
      </w:tr>
    </w:tbl>
    <w:p w:rsidR="00517E64" w:rsidRPr="00517E64" w:rsidRDefault="00517E64" w:rsidP="00517E64">
      <w:pPr>
        <w:spacing w:line="45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</w:tblGrid>
      <w:tr w:rsidR="00517E64" w:rsidRPr="00517E64" w:rsidTr="00517E64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13. Presentación</w:t>
            </w:r>
          </w:p>
        </w:tc>
      </w:tr>
      <w:tr w:rsidR="00517E64" w:rsidRPr="00517E64" w:rsidTr="00517E64">
        <w:trPr>
          <w:trHeight w:val="52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La investigación sigue siendo la piedra angular del avance científico en cualquiera de sus áreas. Se propone la modalidad de propiciar y ampliar el vínculo formal que combine el seminario escolarizado con el sistema tutorial, así como con los sectores público, privado y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social.Dada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la versatilidad de la actividad turística, la materia de Seminario de Investigación, abarca las áreas de cierto ejercicio profesional y de acuerdo al mercado laboral. Investigación integral del turismo, que permita el desarrollo de actitudes y aptitudes hacia la interdisciplinariedad y trabajo en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équipo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14. Perfil Formativo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El estudiante desarrollará competencias para: Identificar situaciones problemáticas en su campo profesional. Planear, presentar y desarrollar propuestas de investigación. 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15. Objetivo General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El Programa de la materia de Metodología de la Investigación I se actualiza cuando menos una vez al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manera colegiada en la Academia de Metodología de la Investigación y están detallados tanto los objetivos como los contenidos. El programa se aplica en el plan de clases que imparten los profesores en el grupo o grupos que les corresponde atender.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Su objetivo general consiste en que el estudiante desarrolle habilidades para apropiarse de manera crítica y ética de elementos teóricos, prácticos y metodológicos que le permitan realizar trabajos y proyectos de investigación en su ámbito de conocimiento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El Objetivo General también se refiere a que el estudiante se familiarice con el desarrollo de la actividad de investigación y que reconozca en ella la forma por excelencia para la obtención de conocimiento científico y para dar respuesta a las diversas problemáticas de su entorno.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1. El estudiante desarrollará habilidades básicas del pensamiento crítico para que utilice en su formación textos complejos y fuentes especializadas.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2. Conocerá el proceso de investigación científica y sus componentes metodológicos.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 Desarrollará habilidades para realizar trabajos de investigación tanto en el sector productivo, de servicios y el social donde puedan ser aplicados en su área de formación profesional y en su intervención para la solución de las problemáticas de su entorno. </w:t>
            </w:r>
          </w:p>
        </w:tc>
      </w:tr>
    </w:tbl>
    <w:p w:rsidR="00517E64" w:rsidRPr="00517E64" w:rsidRDefault="00517E64" w:rsidP="00517E64">
      <w:pPr>
        <w:spacing w:line="45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</w:tblGrid>
      <w:tr w:rsidR="00517E64" w:rsidRPr="00517E64" w:rsidTr="00517E64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16. Contenido Temático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Unidad 1: El conocimiento científico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Objetivo específico: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Estudiar los elementos básicos del conocimiento científico y sus consideraciones éticas en el proceso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1.1. Tipos de conocimiento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1.1.1. Empírico o Común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1.1.2. Científico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1.2. Ciencia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1.2.1. Características de la ciencia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1.2.2.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Clasificaci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la ciencia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1.2.3. Concepto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científica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1.2.4. Aporte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y sus implicaciones en la ciencia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1.2.5. La ética en el proceso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científica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Unidad 2: La Metodología, los métodos y las técnicas en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científica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Objetivo específico: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Estudiar los elementos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metodol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ógicos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y las técnicas para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realizaci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trabajos académicos.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2.1.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Definici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metodología y método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2.2. Diferentes tipos de enfoques y métodos: Analítico, Sintético,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Hist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órico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(Temporal o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Cronol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ógico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), Inductivo, Deductivo, Espacial o Geográfico, Cualitativo, Cuantitativo y Mixto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2.3. Niveles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: exploratorio, descriptivo,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correlacional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explicativo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2.4. Técnicas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(lectura,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observaci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entrevista, cuestionario, encuesta, etc.)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Unidad 3: Habilidades para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científica.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Lectura y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redacci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orientadas a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Objetivo específico: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Distinguir los diferentes tipos de lectura para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elaboraci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trabajos relacionados con el proceso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3.1. Tipos de lectura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3.1.1. Exploratoria Selectiva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3.1.2.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Comprensi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3.1.3. Crítica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3.2 Búsqueda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informaci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3.2.1. Manejo de bases de datos (CERI)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3.2.2. Sitios y acervos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3.2.3. Banco de datos (INEGI)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3.2.4. Fuentes (UAAL)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3.3. Capacidad de análisis y de síntesis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3.3.1. Resumen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3.3.2. Esquema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3.3.3. Cuadro sin óptico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3.3.4. Mapas conceptuales y mentales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3.3.5. Fichas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3.4. Productos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científica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3.4.1. Reseñas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3.4.2. Ensayos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3.4.3. El artículo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3.4.4. La monografía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3.4.5. Tesis (diseño del protocolo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)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3.5. Sistema de referencia (APA): citas, notas, locuciones latinas y bibliografía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 xml:space="preserve">Unidad 4: Práctica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(diseño del protocolo)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Objetivo específico: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Elaborar un protocolo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en su área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formaci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profesional.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4.1. Búsqueda de posibles temas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4.2.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Construcci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del objeto de estudio a partir del estado del arte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4.3. Criterios para considerar la pertinencia del tema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científica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4.4. Planteamiento del problema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4.4.1.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Formulaci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del problema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4.4.1.1. Preguntas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4.4.1.2. Objetivos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4.4.1.3.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Justificaci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del trabajo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4.4.2. Enunciado del problema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4.5. Viabilidad, relevancia y pertinencia del proyecto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4.6.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Elecci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del nivel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4.7. Título del tema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4.8. Marco de referencia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4.8.1. Marco te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órico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4.8.2. Marco conceptual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4.9.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Formulaci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hip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ótesis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4.10. Marco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metodol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ógico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4.10.1.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Definici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del enfoque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4.10.2.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Determinaci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poblaci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y la muestra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4.10.3. Metodología a emplear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4.10.4. Cronograma de trabajo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4.10.5. Presupuesto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4.10.6. Limitaciones del proyecto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4.10.7. Fuentes de consulta (bibliográficas, documentales,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electr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ónicas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entre otras).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4.10.8. Apéndice y anexos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4.11. Criterios básicos y estructura del protocolo. 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>17.-Bibliografia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Unidad I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Bibliografía básica: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Babbie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E. (2000). Fundamentos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social, México: Thomson. Apéndice A. 300.7 BAB 2000, México: IT, 2000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García, A. (1996).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Introducci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a la Metodología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Científica, México: Plaza y Valdés.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001.42 GAR 1997, REIMPRESION 2002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Bibliografía complementaria: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Rojas, R. (2006). Guía para realizar investigaciones sociales, México: Plaza y Valdés.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Tamayo, M. (1994). El proceso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científica incluye glosario y manual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evaluaci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proyectos. México: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Limusa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Walker, M. (2000). C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ómo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escribir trabajos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España: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Gedisa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Capítulo 6.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Unidad II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Bibliografía básica: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Eyssautier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M. (2002). Metodología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desarrollo de la inteligencia. México: Thomson.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García, A. (1995).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Introducci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a la Metodología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Científica. México: Plaza y Valdés. 001.42 GAR REIMPRESION 2002.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Hernández, R., C. Fernández-Collado y P. Baptista. (2006). Metodología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4 ed., México: Mc Graw Hill.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001.42 HER.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Méndez. C. (2006). Metodología. Diseño y desarrollo del proceso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con énfasis en ciencias empresariales, 4a. Ed.,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Colombia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:Limusa</w:t>
            </w:r>
            <w:proofErr w:type="spellEnd"/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001.42 MEN, Bogotá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Limusa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2007.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L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ópez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H. (1998). "La metodología de encuesta". En Galindo, C. (coord.). Técnicas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en sociedad, cultura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 xml:space="preserve">y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comunicaci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México: Consejo Nacional para la Cultura y las Artes.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Unidad III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Bibliografía básica: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Argudín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Y., y Luna, M. (2006). Aprender a pensar leyendo bien. México: Plaza y Valdés. 378.17 ARG.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González, F. M. (1992). Los Mapas Conceptuales de J.D.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Novak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como instrumentos para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en didáctica de las ciencias experimentales. En: Revista Enseñanza de las Ciencias, Vol. 2, No. 10, Junio, Barcelona: Universidad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Aut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ónoma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Barcelona.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Ontoria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A., y Molina, A. (2007). Aprender a Aprender, México: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Alfaomega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370.154 ONT.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Silva, B. N., y Leyva, H. (2005). Elementos básicos para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elaboraci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trabajos académicos y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Cuaderno para la Docencia 1. México: Universidad de Guadalajara. 001.42. SIL.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American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Psychological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Association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(2001).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Publication manual of the American Psychological Association 5a. ed. Washington, D.C.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MX"/>
              </w:rPr>
              <w:br/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Gelfand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H., y Walker, Ch. (2006). Manual de Estilo de Publicaciones de la American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Psychological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Association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Guía para el Maestro. American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Psychological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Association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México, Manual moderno. 808.06615 MAN.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Gelfand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H., y Walker, Ch. (2006). Manual de Estilo de Publicaciones de la American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Psychological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Association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Guía de entrenamiento para el estudiante. American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Psychological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Association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México, Manual moderno. 316 p. 808.06615 MAN.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Bibliografía complementaria: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García, F. (2008). La tesis y el trabajo de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tesis :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recomendaciones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metodol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ógicas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para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elaboraci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del trabajo de tesis. México: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Limusa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Walker, M. (2000). C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ómo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escribir trabajos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España: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Gedisa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Ligas para materiales referidos a la lectura: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>www.uhu.es/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agora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/version01/digital/.../perez.htm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>dialnet.unirioja.es/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servlet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fichero_articulo?codigo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=126294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Ligas para consulta de materiales relacionados con los Mapas conceptuales: http://greemind.sourseforge.net/wiki/index.pgp/Download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http://www.xmind.net/downloads/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Unidad IV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Bibliografía básica: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Bernal, C. (2006). Metodología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Para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administraci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y economía. Colombia: Pearson. Capítulo 7. 001.42068 VER.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García-C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órdoba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F. &amp; García-C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órdoba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L. (2008).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problematizaci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Cuadernos 10. México: ISCEEM.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Hernández, R., C. Fernández-Collado y P. Baptista. (2006). Metodología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4 ed., México: Mc Graw Hill. Capítulo 4. Completo, Capítulo 6. Completo. 001.42. HER 2007.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Méndez, C. (2006). Metodología. Diseño y desarrollo del proceso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con énfasis en ciencias empresariales, 4 ed., Colombia: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Limusa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001.42 MEN.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Tamayo, M. (2005). El proceso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científica. México: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Limusa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. Capítulo 3. </w:t>
            </w:r>
          </w:p>
        </w:tc>
      </w:tr>
    </w:tbl>
    <w:p w:rsidR="00517E64" w:rsidRPr="00517E64" w:rsidRDefault="00517E64" w:rsidP="00517E64">
      <w:pPr>
        <w:spacing w:line="45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</w:tblGrid>
      <w:tr w:rsidR="00517E64" w:rsidRPr="00517E64" w:rsidTr="00517E64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18.-Aplicacion profesional: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Al término del curso, los alumnos podrán ser capaces de:-Proponer un marco conceptual de turismo, vinculado con otras disciplinas afines.-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Formular planes de desarrollo turístico.-Evaluar proyectos turísticos con una visión interdisciplinaria 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integradora.Manejar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una serie de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herramientas que le permitan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dise?ar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modelos novedosos.-Tener opciones en el ámbito profesional tanto en el sector público, como en el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privado.Implementar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una evaluación en mesas redondas, el cual entre los alumnos y el profesor se intercambian opiniones acerca de un ensayo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turístico y/o protocolo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investigación.Al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terminar el curso de Seminario de Investigación Turística al alumno le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petrmitirá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formular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tecnicamente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preguntas de investigación en las mesas redondas y tener insumos para avanzar en la construcción de referentes teóricos.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 xml:space="preserve">Asimismo, estarán en condiciones de identificar los enfoques y herramientas cualitativas y cuantitativas, técnicas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estadísticas,tendencias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y haber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formulado el marco conceptual que fundamente sus preguntas y los enfoques para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resolverlos.Formilar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su protocolo de tesis en un planteamiento que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defina las técnicas para la descripción de los hallazgos,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realción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entre las variables y la validación de los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hallazgos.Además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se requiere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establecer normas éticas que procedan correcta y moralmente al hacer investigación turística. 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>19.-Profesores que imparten la materia: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Aguirre Pulido Silvia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Becerra Rosa Isela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Brambila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Medrano Blanca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Campoy Rodríguez José Antonio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Castañeda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Camey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Nicté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Soledad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Covarrubias Tovar Natividad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Cuevas Tello Ana Bertha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Delgado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Lecourtois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Carmen Yolanda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Domínguez González José Antonio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Flores Rubio Silvia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Gavilanes Hernández Martha Elena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Gutiérrez Contreras Silvia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Gutiérrez de la Torre Norma Celina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Huerta Organista Ricardo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Adrían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Juárez Carmona María Ángela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Leyva Ureña Herminio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L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ópez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Ruelas Sergio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Michell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Bezana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Nestor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Juan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Nuñez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Martínez Patricia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Ortiz García M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ónica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del Socorro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Quint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Berdac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Hariet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Kristl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Ramírez Morales César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Rivera Vargas María Isabel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Rivas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Jimenez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Claudia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Rizo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Andal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Rodrigo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Rodríguez Alegría Agustina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Rodríguez Morales Ricardo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Ruiz De Alba Miguel Antonio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Ruiz Ortega Mario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Serrano Camarena Diana Elena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Silva Gutiérrez Blanca Noemí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Valenzuela Varela Ma. Basilia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Viveros Ríos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Ortencia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Villaseñor Gudiño María Guadalupe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Villavicencio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Herández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Rosa 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20.-Perfil del profesor: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La academia que atiende esta asignatura está conformada por profesores de diversas áreas del conocimiento como: economistas, abogados, historiadores, administradores,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psic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ólogos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soci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ólogos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etc., y más del 90%, cuenta con estudios de posgrado. </w:t>
            </w:r>
          </w:p>
        </w:tc>
      </w:tr>
    </w:tbl>
    <w:p w:rsidR="00517E64" w:rsidRPr="00517E64" w:rsidRDefault="00517E64" w:rsidP="00517E64">
      <w:pPr>
        <w:spacing w:line="45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</w:tblGrid>
      <w:tr w:rsidR="00517E64" w:rsidRPr="00517E64" w:rsidTr="00517E64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21.-Proceso de enseñanza-aprendizaje: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Tradicional, Deductivo, Inductivo,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Analitico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Descriptivo, Explicativo, Tutorial, Reflexivo,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Explorativo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Cooperativo, Otras1, Individuales, Grupales, Talleres, Internet, Lectura previa,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Elaboracion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ficha de resumen,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Discusion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temas,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Resolucion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ejercicios, Trabajos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Formulacion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ensayos,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Exposicion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del maestro,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Exposicion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alumnos, Otras3,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Pizarron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Rotafolio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Computacion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Programas de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computacion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Ejercicios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practicos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Diapositivas,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Peliculas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, Libros de texto, Lectura de publicaciones especiales, Otras4 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22.- Actividades extracurriculares: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El curso se sustenta en el desarrollo de las habilidades de lectura y técnicas para el desarrollo del pensamiento reflexivo, crítico y propositivo, por lo tanto, se recomienda al profesor: ?Respaldar el proceso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autogestivo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del alumno frente al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 xml:space="preserve">conocimiento.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?Por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la naturaleza de la asignatura, realizar el trabajo de las sesiones en la modalidad de taller.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?Trabajar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desde el inicio y a lo largo del curso, las herramientas básicas para la realización de su ejercicio de investigación y para la producción de textos científicos.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?Propiciar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la reflexión y discusión de temas a partir de preguntas planteadas por el profesor.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?Buscar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materiales complementarios que apoyen las actividades del curso en: biblioteca, hemeroteca, instituciones oficiales y sitios Web.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?Producir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materiales que apoyen la comprensión de las interrelaciones entre teoría, método y técnica y la complementariedad de los enfoques cuantitativo y cualitativo.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?Revisar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resúmenes analíticos en los que se identifiquen las características de diferentes investigaciones y su procedimiento metodológico.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?Imaginar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y discutir la posibilidad de otras opciones metodológicas.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?Presentar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rese?as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y comparaciones de la información analizada en las que se registren las referencias completas del material consultado.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?Participar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en debates sobre el tema leído en equipos de trabajo.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?Evaluar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periódicamente los avances del proyecto de investigación.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?Asistir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a la presentación de avances de investigación.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?Asistir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acompa?ando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a sus alumnos a las visitas al CERI, sesiones de bases de datos y de INEGI. .Vincularse con el sector productivo para el trabajo de campo en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eleboración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un trabajo de investigación inicial. 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 xml:space="preserve">23.-Formulacion,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aprobacion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validacion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Los profesores de la academia, como cuerpo colegiado, son responsables de las modificaciones al programa y tiene como punto de partida la identificación de necesidades de la materia. </w:t>
            </w:r>
          </w:p>
        </w:tc>
      </w:tr>
    </w:tbl>
    <w:p w:rsidR="00517E64" w:rsidRPr="00517E64" w:rsidRDefault="00517E64" w:rsidP="00517E64">
      <w:pPr>
        <w:spacing w:line="45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</w:tblGrid>
      <w:tr w:rsidR="00517E64" w:rsidRPr="00517E64" w:rsidTr="00517E64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24.-Evaluacion del aprendizaje: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ACADEMIA DE METODOLOG?A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En la materia de Metodología de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investigaci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I,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evaluaci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curricular se decide en forma colegiada y consiste básicamente en establecer: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1. La relevancia de los contenidos para el desempeño profesional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2. Los resultados reportados por los alumnos en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aplicaci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práctica de los contenidos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3. Los tiempos disponibles para el cumplimiento del programa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evaluaci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continua está presente a través de tareas, trabajos, ensayos, reseñas críticas,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participaci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presentaci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 trabajos en clase, de igual manera, se aplican exámenes parciales a lo largo del semestre.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ponderaci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es la siguiente: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Protocolo 40%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Exámenes parciales y departamental 30%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Trabajos en clase, tareas, etc. 20%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Asistencia y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evaluaci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ón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del curso de Base de Datos 10%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Total 100% 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25.-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Evaluacion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curricular: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Los criterios para la evaluación curricular se deciden en forma colegiada cada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y consisten básicamente en establecer: ?La relevancia de los contenidos para el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desempe?o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profesional.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?Los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resultados reportados por los alumnos en la aplicación práctica de los contenidos. </w:t>
            </w:r>
            <w:proofErr w:type="gram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?Los</w:t>
            </w:r>
            <w:proofErr w:type="gram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tiempos disponibles para el cumplimiento del programa. 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26.- Mapa curricular: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27.-Participantes y fecha en la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elaboracion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del programa:</w:t>
            </w:r>
          </w:p>
        </w:tc>
      </w:tr>
      <w:tr w:rsidR="00517E64" w:rsidRPr="00517E64" w:rsidTr="00517E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 última revisión del programa fue del 30 de marzo al 03 de abril de 2009 por la Academia de Metodología de la Investigación.*Amparo Tello Dagoberto*?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vila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Jiménez María Dolores*Campoy Rodríguez José Antonio*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Casta?eda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Camey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Nicté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Soledad*Cepeda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Villase?or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Netzahualcoyotl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*Cordero Baltazar Juana*Cuevas Tello Ana Bertha*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Chavarín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Rodríguez Rubén Antonio*Dávalos García Sergio Roberto*Delgado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Lecourtois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Carmen Yolanda*Domínguez González José Antonio*Garibaldi ?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lvarez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Eduardo*Gavilanes Hernández Marta Elena*Gutiérrez Contreras Silvia*Gutiérrez de la Torre Norma Celina*Juárez Carmona María ?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ngela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*Leyva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Ure?a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Herminio*López Ruelas Sergio*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Monta?o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Cervantes Felipe de Jesús*Moran Martínez Francisco*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Ort?z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García Mónica del Socorro*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Quint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Berdac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Hariet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Kristl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* Ramírez Morales César*Rivera Vargas María Isabel*Rizo Andalón Rodrigo*Rodríguez Alegría Agustina*Rodríguez Morales Ricardo*Ruiz Ortega Mario*Serrano Camarena Diana Elena*Silva Gutiérrez Blanca Noemí*Valenzuela Varela María Basilia*Viveros Ríos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Ortencia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*Zarzosa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Codocedo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Alejandra </w:t>
            </w:r>
          </w:p>
        </w:tc>
      </w:tr>
    </w:tbl>
    <w:p w:rsidR="00517E64" w:rsidRPr="00517E64" w:rsidRDefault="00517E64" w:rsidP="00517E64">
      <w:pPr>
        <w:spacing w:line="456" w:lineRule="atLeast"/>
        <w:jc w:val="center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val="es-ES"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7795"/>
      </w:tblGrid>
      <w:tr w:rsidR="00517E64" w:rsidRPr="00517E64" w:rsidTr="00517E6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17E64" w:rsidRPr="00517E64" w:rsidTr="00517E64">
        <w:trPr>
          <w:tblCellSpacing w:w="0" w:type="dxa"/>
          <w:jc w:val="center"/>
        </w:trPr>
        <w:tc>
          <w:tcPr>
            <w:tcW w:w="945" w:type="dxa"/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s-MX"/>
              </w:rPr>
              <w:lastRenderedPageBreak/>
              <mc:AlternateContent>
                <mc:Choice Requires="wps">
                  <w:drawing>
                    <wp:inline distT="0" distB="0" distL="0" distR="0" wp14:anchorId="70C77947" wp14:editId="2F849B3F">
                      <wp:extent cx="304800" cy="304800"/>
                      <wp:effectExtent l="0" t="0" r="0" b="0"/>
                      <wp:docPr id="1" name="AutoShape 3" descr="http://www.cucea.udg.mx/oferta/img/ct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Descripción: http://www.cucea.udg.mx/oferta/img/cta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lgPEzVAgAA6g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65" w:type="dxa"/>
            <w:vAlign w:val="center"/>
            <w:hideMark/>
          </w:tcPr>
          <w:p w:rsidR="00517E64" w:rsidRPr="00517E64" w:rsidRDefault="00517E64" w:rsidP="005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© Centro Universitario de Ciencias Económico Administrativas. 2007-2010.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>Coordinación de Tecnologías para el Aprendizaje</w:t>
            </w:r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  <w:t xml:space="preserve">Unidad de Multimedia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Instruccional</w:t>
            </w:r>
            <w:proofErr w:type="spellEnd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- Desarrollo </w:t>
            </w:r>
            <w:proofErr w:type="spellStart"/>
            <w:r w:rsidRPr="00517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We</w:t>
            </w:r>
            <w:proofErr w:type="spellEnd"/>
          </w:p>
        </w:tc>
      </w:tr>
    </w:tbl>
    <w:p w:rsidR="00517E64" w:rsidRDefault="00517E64">
      <w:bookmarkStart w:id="0" w:name="_GoBack"/>
      <w:bookmarkEnd w:id="0"/>
    </w:p>
    <w:sectPr w:rsidR="00517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4"/>
    <w:rsid w:val="0051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143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60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2754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CUAltos</dc:creator>
  <cp:keywords/>
  <dc:description/>
  <cp:lastModifiedBy>Curso CUAltos</cp:lastModifiedBy>
  <cp:revision>1</cp:revision>
  <dcterms:created xsi:type="dcterms:W3CDTF">2011-07-06T17:24:00Z</dcterms:created>
  <dcterms:modified xsi:type="dcterms:W3CDTF">2011-07-06T17:25:00Z</dcterms:modified>
</cp:coreProperties>
</file>