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E4" w:rsidRDefault="005F4690" w:rsidP="00F67E2A">
      <w:pPr>
        <w:spacing w:line="360" w:lineRule="auto"/>
        <w:jc w:val="both"/>
        <w:rPr>
          <w:b/>
          <w:sz w:val="24"/>
          <w:szCs w:val="24"/>
        </w:rPr>
      </w:pPr>
      <w:r w:rsidRPr="00F67E2A">
        <w:rPr>
          <w:b/>
          <w:sz w:val="24"/>
          <w:szCs w:val="24"/>
        </w:rPr>
        <w:t>I.-  Definiciones</w:t>
      </w:r>
    </w:p>
    <w:p w:rsidR="009A0BE4" w:rsidRPr="009A0BE4" w:rsidRDefault="009A0BE4" w:rsidP="00F67E2A">
      <w:pPr>
        <w:numPr>
          <w:ilvl w:val="0"/>
          <w:numId w:val="4"/>
        </w:numPr>
        <w:spacing w:line="360" w:lineRule="auto"/>
        <w:jc w:val="both"/>
        <w:rPr>
          <w:sz w:val="24"/>
          <w:szCs w:val="24"/>
        </w:rPr>
      </w:pPr>
      <w:r>
        <w:rPr>
          <w:sz w:val="24"/>
          <w:szCs w:val="24"/>
        </w:rPr>
        <w:t>CIRIA:</w:t>
      </w:r>
      <w:r>
        <w:rPr>
          <w:sz w:val="24"/>
          <w:szCs w:val="24"/>
        </w:rPr>
        <w:tab/>
        <w:t>Centro Interactivo de Recursos de Información y Aprendizaje</w:t>
      </w:r>
      <w:r w:rsidRPr="00F67E2A">
        <w:rPr>
          <w:sz w:val="24"/>
          <w:szCs w:val="24"/>
        </w:rPr>
        <w:tab/>
      </w:r>
    </w:p>
    <w:p w:rsidR="005F4690" w:rsidRPr="00F67E2A" w:rsidRDefault="005F4690" w:rsidP="00F67E2A">
      <w:pPr>
        <w:numPr>
          <w:ilvl w:val="0"/>
          <w:numId w:val="4"/>
        </w:numPr>
        <w:spacing w:line="360" w:lineRule="auto"/>
        <w:jc w:val="both"/>
        <w:rPr>
          <w:sz w:val="24"/>
          <w:szCs w:val="24"/>
        </w:rPr>
      </w:pPr>
      <w:r w:rsidRPr="00F67E2A">
        <w:rPr>
          <w:sz w:val="24"/>
          <w:szCs w:val="24"/>
        </w:rPr>
        <w:t xml:space="preserve">DDC: </w:t>
      </w:r>
      <w:r w:rsidRPr="00F67E2A">
        <w:rPr>
          <w:sz w:val="24"/>
          <w:szCs w:val="24"/>
        </w:rPr>
        <w:tab/>
      </w:r>
      <w:r w:rsidR="00F67E2A">
        <w:rPr>
          <w:sz w:val="24"/>
          <w:szCs w:val="24"/>
        </w:rPr>
        <w:tab/>
      </w:r>
      <w:r w:rsidRPr="00F67E2A">
        <w:rPr>
          <w:sz w:val="24"/>
          <w:szCs w:val="24"/>
        </w:rPr>
        <w:t>Departamento de Desarrollo de Colección</w:t>
      </w:r>
      <w:r w:rsidR="007A572E">
        <w:rPr>
          <w:sz w:val="24"/>
          <w:szCs w:val="24"/>
        </w:rPr>
        <w:t>.</w:t>
      </w:r>
    </w:p>
    <w:p w:rsidR="005F4690" w:rsidRPr="00F67E2A" w:rsidRDefault="005F4690" w:rsidP="00F67E2A">
      <w:pPr>
        <w:numPr>
          <w:ilvl w:val="0"/>
          <w:numId w:val="4"/>
        </w:numPr>
        <w:spacing w:line="360" w:lineRule="auto"/>
        <w:jc w:val="both"/>
        <w:rPr>
          <w:sz w:val="24"/>
          <w:szCs w:val="24"/>
        </w:rPr>
      </w:pPr>
      <w:r w:rsidRPr="00F67E2A">
        <w:rPr>
          <w:sz w:val="24"/>
          <w:szCs w:val="24"/>
        </w:rPr>
        <w:t>DC:</w:t>
      </w:r>
      <w:r w:rsidRPr="00F67E2A">
        <w:rPr>
          <w:sz w:val="24"/>
          <w:szCs w:val="24"/>
        </w:rPr>
        <w:tab/>
      </w:r>
      <w:r w:rsidR="00F67E2A">
        <w:rPr>
          <w:sz w:val="24"/>
          <w:szCs w:val="24"/>
        </w:rPr>
        <w:tab/>
      </w:r>
      <w:r w:rsidRPr="00F67E2A">
        <w:rPr>
          <w:sz w:val="24"/>
          <w:szCs w:val="24"/>
        </w:rPr>
        <w:t>Departamento de Compras</w:t>
      </w:r>
      <w:r w:rsidR="007A572E">
        <w:rPr>
          <w:sz w:val="24"/>
          <w:szCs w:val="24"/>
        </w:rPr>
        <w:t>.</w:t>
      </w:r>
    </w:p>
    <w:p w:rsidR="009A0BE4" w:rsidRPr="009A0BE4" w:rsidRDefault="005F4690" w:rsidP="009A0BE4">
      <w:pPr>
        <w:numPr>
          <w:ilvl w:val="0"/>
          <w:numId w:val="4"/>
        </w:numPr>
        <w:spacing w:line="360" w:lineRule="auto"/>
        <w:jc w:val="both"/>
        <w:rPr>
          <w:sz w:val="24"/>
          <w:szCs w:val="24"/>
        </w:rPr>
      </w:pPr>
      <w:r w:rsidRPr="00F67E2A">
        <w:rPr>
          <w:sz w:val="24"/>
          <w:szCs w:val="24"/>
        </w:rPr>
        <w:t>DA:</w:t>
      </w:r>
      <w:r w:rsidRPr="00F67E2A">
        <w:rPr>
          <w:sz w:val="24"/>
          <w:szCs w:val="24"/>
        </w:rPr>
        <w:tab/>
      </w:r>
      <w:r w:rsidR="00F67E2A">
        <w:rPr>
          <w:sz w:val="24"/>
          <w:szCs w:val="24"/>
        </w:rPr>
        <w:tab/>
      </w:r>
      <w:r w:rsidRPr="00F67E2A">
        <w:rPr>
          <w:sz w:val="24"/>
          <w:szCs w:val="24"/>
        </w:rPr>
        <w:t>Dirección de Abastecimiento</w:t>
      </w:r>
      <w:r w:rsidR="007A572E">
        <w:rPr>
          <w:sz w:val="24"/>
          <w:szCs w:val="24"/>
        </w:rPr>
        <w:t>.</w:t>
      </w:r>
    </w:p>
    <w:p w:rsidR="005F4690" w:rsidRPr="009A0BE4" w:rsidRDefault="009A0BE4" w:rsidP="009A0BE4">
      <w:pPr>
        <w:numPr>
          <w:ilvl w:val="0"/>
          <w:numId w:val="4"/>
        </w:numPr>
        <w:spacing w:line="360" w:lineRule="auto"/>
        <w:jc w:val="both"/>
        <w:rPr>
          <w:sz w:val="24"/>
          <w:szCs w:val="24"/>
        </w:rPr>
      </w:pPr>
      <w:r w:rsidRPr="00F67E2A">
        <w:rPr>
          <w:sz w:val="24"/>
          <w:szCs w:val="24"/>
        </w:rPr>
        <w:t>DPAF:</w:t>
      </w:r>
      <w:r w:rsidRPr="00F67E2A">
        <w:rPr>
          <w:sz w:val="24"/>
          <w:szCs w:val="24"/>
        </w:rPr>
        <w:tab/>
        <w:t>Departamento de Presupuestos y Activo Fijo</w:t>
      </w:r>
      <w:r>
        <w:rPr>
          <w:sz w:val="24"/>
          <w:szCs w:val="24"/>
        </w:rPr>
        <w:t>.</w:t>
      </w:r>
      <w:r w:rsidRPr="009A0BE4">
        <w:rPr>
          <w:sz w:val="24"/>
          <w:szCs w:val="24"/>
        </w:rPr>
        <w:tab/>
      </w:r>
      <w:r w:rsidR="00F67E2A" w:rsidRPr="009A0BE4">
        <w:rPr>
          <w:sz w:val="24"/>
          <w:szCs w:val="24"/>
        </w:rPr>
        <w:tab/>
      </w:r>
    </w:p>
    <w:p w:rsidR="005F4690" w:rsidRPr="00F67E2A" w:rsidRDefault="009A0BE4" w:rsidP="00F67E2A">
      <w:pPr>
        <w:numPr>
          <w:ilvl w:val="0"/>
          <w:numId w:val="4"/>
        </w:numPr>
        <w:spacing w:line="360" w:lineRule="auto"/>
        <w:jc w:val="both"/>
        <w:rPr>
          <w:sz w:val="24"/>
          <w:szCs w:val="24"/>
        </w:rPr>
      </w:pPr>
      <w:r>
        <w:rPr>
          <w:sz w:val="24"/>
          <w:szCs w:val="24"/>
        </w:rPr>
        <w:t xml:space="preserve"> VA</w:t>
      </w:r>
      <w:r w:rsidR="00F67E2A">
        <w:rPr>
          <w:sz w:val="24"/>
          <w:szCs w:val="24"/>
        </w:rPr>
        <w:t xml:space="preserve">: </w:t>
      </w:r>
      <w:r w:rsidR="00F67E2A">
        <w:rPr>
          <w:sz w:val="24"/>
          <w:szCs w:val="24"/>
        </w:rPr>
        <w:tab/>
      </w:r>
      <w:r>
        <w:rPr>
          <w:sz w:val="24"/>
          <w:szCs w:val="24"/>
        </w:rPr>
        <w:tab/>
        <w:t>Vicerrectoría Académica</w:t>
      </w:r>
    </w:p>
    <w:p w:rsidR="005F4690" w:rsidRPr="00F67E2A" w:rsidRDefault="005F4690" w:rsidP="00F67E2A">
      <w:pPr>
        <w:spacing w:line="360" w:lineRule="auto"/>
        <w:jc w:val="both"/>
        <w:rPr>
          <w:b/>
          <w:sz w:val="24"/>
          <w:szCs w:val="24"/>
        </w:rPr>
      </w:pPr>
    </w:p>
    <w:p w:rsidR="005F4690" w:rsidRPr="00F67E2A" w:rsidRDefault="003D5CA6" w:rsidP="00F67E2A">
      <w:pPr>
        <w:spacing w:line="360" w:lineRule="auto"/>
        <w:rPr>
          <w:b/>
          <w:sz w:val="24"/>
          <w:szCs w:val="24"/>
        </w:rPr>
      </w:pPr>
      <w:r>
        <w:rPr>
          <w:b/>
          <w:sz w:val="24"/>
          <w:szCs w:val="24"/>
        </w:rPr>
        <w:t xml:space="preserve">II.- </w:t>
      </w:r>
      <w:r w:rsidR="005F4690" w:rsidRPr="00F67E2A">
        <w:rPr>
          <w:b/>
          <w:sz w:val="24"/>
          <w:szCs w:val="24"/>
        </w:rPr>
        <w:t>Objetivo</w:t>
      </w:r>
    </w:p>
    <w:p w:rsidR="005F4690" w:rsidRPr="00F67E2A" w:rsidRDefault="005F4690" w:rsidP="00F67E2A">
      <w:pPr>
        <w:spacing w:line="360" w:lineRule="auto"/>
        <w:jc w:val="both"/>
        <w:rPr>
          <w:sz w:val="24"/>
          <w:szCs w:val="24"/>
        </w:rPr>
      </w:pPr>
      <w:r w:rsidRPr="00F67E2A">
        <w:rPr>
          <w:sz w:val="24"/>
          <w:szCs w:val="24"/>
        </w:rPr>
        <w:t>Distribuir y administrar los recursos financieros de la cuenta de inversión (activo fijo), de acuerdo a los requerimientos del personal académico, administrativo y de investigación y con base en los programas académicos vigentes.</w:t>
      </w:r>
    </w:p>
    <w:p w:rsidR="005F4690" w:rsidRPr="00F67E2A" w:rsidRDefault="005F4690" w:rsidP="00F67E2A">
      <w:pPr>
        <w:spacing w:line="360" w:lineRule="auto"/>
        <w:jc w:val="both"/>
        <w:rPr>
          <w:sz w:val="24"/>
          <w:szCs w:val="24"/>
        </w:rPr>
      </w:pPr>
    </w:p>
    <w:p w:rsidR="005F4690" w:rsidRPr="00F67E2A" w:rsidRDefault="005F4690" w:rsidP="00F67E2A">
      <w:pPr>
        <w:tabs>
          <w:tab w:val="left" w:pos="1440"/>
        </w:tabs>
        <w:spacing w:line="360" w:lineRule="auto"/>
        <w:jc w:val="both"/>
        <w:rPr>
          <w:b/>
          <w:sz w:val="24"/>
          <w:szCs w:val="24"/>
        </w:rPr>
      </w:pPr>
      <w:r w:rsidRPr="00F67E2A">
        <w:rPr>
          <w:b/>
          <w:sz w:val="24"/>
          <w:szCs w:val="24"/>
        </w:rPr>
        <w:t xml:space="preserve"> III.- Desarrollo</w:t>
      </w:r>
    </w:p>
    <w:p w:rsidR="005F4690" w:rsidRPr="00F67E2A" w:rsidRDefault="003D5CA6" w:rsidP="007A572E">
      <w:pPr>
        <w:tabs>
          <w:tab w:val="left" w:pos="1440"/>
        </w:tabs>
        <w:spacing w:line="360" w:lineRule="auto"/>
        <w:ind w:left="360"/>
        <w:jc w:val="both"/>
        <w:rPr>
          <w:b/>
          <w:sz w:val="24"/>
          <w:szCs w:val="24"/>
        </w:rPr>
      </w:pPr>
      <w:r>
        <w:rPr>
          <w:b/>
          <w:sz w:val="24"/>
          <w:szCs w:val="24"/>
        </w:rPr>
        <w:t>Disposiciones</w:t>
      </w:r>
    </w:p>
    <w:p w:rsidR="005F4690" w:rsidRPr="009A0BE4" w:rsidRDefault="009A0BE4" w:rsidP="009A0BE4">
      <w:pPr>
        <w:widowControl w:val="0"/>
        <w:numPr>
          <w:ilvl w:val="0"/>
          <w:numId w:val="8"/>
        </w:numPr>
        <w:spacing w:line="360" w:lineRule="auto"/>
        <w:jc w:val="both"/>
        <w:rPr>
          <w:sz w:val="24"/>
          <w:szCs w:val="24"/>
        </w:rPr>
      </w:pPr>
      <w:r>
        <w:rPr>
          <w:sz w:val="24"/>
          <w:szCs w:val="24"/>
        </w:rPr>
        <w:t>La DIR</w:t>
      </w:r>
      <w:r w:rsidR="005F4690" w:rsidRPr="009A0BE4">
        <w:rPr>
          <w:sz w:val="24"/>
          <w:szCs w:val="24"/>
        </w:rPr>
        <w:t xml:space="preserve"> recibirá del DDC la propuesta anual de la programación de pagos correspondientes a los compromisos adquiridos con anterioridad, como la renovación de los títulos de publicaciones periódicas, standing orders en formato impreso y electrónico.</w:t>
      </w:r>
    </w:p>
    <w:p w:rsidR="005F4690" w:rsidRPr="00F67E2A" w:rsidRDefault="009A0BE4" w:rsidP="007A572E">
      <w:pPr>
        <w:widowControl w:val="0"/>
        <w:numPr>
          <w:ilvl w:val="0"/>
          <w:numId w:val="8"/>
        </w:numPr>
        <w:spacing w:line="360" w:lineRule="auto"/>
        <w:jc w:val="both"/>
        <w:rPr>
          <w:sz w:val="24"/>
          <w:szCs w:val="24"/>
        </w:rPr>
      </w:pPr>
      <w:r>
        <w:rPr>
          <w:sz w:val="24"/>
          <w:szCs w:val="24"/>
        </w:rPr>
        <w:t>La VA</w:t>
      </w:r>
      <w:r w:rsidR="005F4690" w:rsidRPr="00F67E2A">
        <w:rPr>
          <w:sz w:val="24"/>
          <w:szCs w:val="24"/>
        </w:rPr>
        <w:t xml:space="preserve"> revisará y aprobará la programación presupuestal y notificará la autorización de ésta a la Dirección de Finanzas.</w:t>
      </w:r>
    </w:p>
    <w:p w:rsidR="005F4690" w:rsidRPr="00F67E2A" w:rsidRDefault="005F4690" w:rsidP="007A572E">
      <w:pPr>
        <w:widowControl w:val="0"/>
        <w:numPr>
          <w:ilvl w:val="0"/>
          <w:numId w:val="8"/>
        </w:numPr>
        <w:spacing w:line="360" w:lineRule="auto"/>
        <w:jc w:val="both"/>
        <w:rPr>
          <w:sz w:val="24"/>
          <w:szCs w:val="24"/>
        </w:rPr>
      </w:pPr>
      <w:r w:rsidRPr="00F67E2A">
        <w:rPr>
          <w:sz w:val="24"/>
          <w:szCs w:val="24"/>
        </w:rPr>
        <w:t>El DPAF depositará la cantidad aprobada mensualmente a la cuenta de activo fijo.</w:t>
      </w:r>
    </w:p>
    <w:p w:rsidR="005F4690" w:rsidRPr="00F67E2A" w:rsidRDefault="005F4690" w:rsidP="007A572E">
      <w:pPr>
        <w:widowControl w:val="0"/>
        <w:numPr>
          <w:ilvl w:val="0"/>
          <w:numId w:val="8"/>
        </w:numPr>
        <w:spacing w:line="360" w:lineRule="auto"/>
        <w:jc w:val="both"/>
        <w:rPr>
          <w:sz w:val="24"/>
          <w:szCs w:val="24"/>
        </w:rPr>
      </w:pPr>
      <w:r w:rsidRPr="00F67E2A">
        <w:rPr>
          <w:sz w:val="24"/>
          <w:szCs w:val="24"/>
        </w:rPr>
        <w:t>El DC aplicará los pagos correspondientes a las renovaciones o nuevas adquisiciones que el DDC  haya solicitado de acuerdo a la programación del Plan Estratégico Institucional.</w:t>
      </w:r>
    </w:p>
    <w:p w:rsidR="005F4690" w:rsidRPr="00F67E2A" w:rsidRDefault="005F4690" w:rsidP="007A572E">
      <w:pPr>
        <w:spacing w:line="360" w:lineRule="auto"/>
        <w:ind w:left="360"/>
        <w:jc w:val="both"/>
        <w:rPr>
          <w:b/>
          <w:sz w:val="24"/>
          <w:szCs w:val="24"/>
        </w:rPr>
      </w:pPr>
      <w:r w:rsidRPr="00F67E2A">
        <w:rPr>
          <w:b/>
          <w:sz w:val="24"/>
          <w:szCs w:val="24"/>
        </w:rPr>
        <w:t>Facultades</w:t>
      </w:r>
    </w:p>
    <w:p w:rsidR="005F4690" w:rsidRPr="00F67E2A" w:rsidRDefault="009A0BE4" w:rsidP="007A572E">
      <w:pPr>
        <w:numPr>
          <w:ilvl w:val="0"/>
          <w:numId w:val="8"/>
        </w:numPr>
        <w:suppressAutoHyphens w:val="0"/>
        <w:spacing w:line="360" w:lineRule="auto"/>
        <w:jc w:val="both"/>
        <w:rPr>
          <w:sz w:val="24"/>
          <w:szCs w:val="24"/>
        </w:rPr>
      </w:pPr>
      <w:r>
        <w:rPr>
          <w:sz w:val="24"/>
          <w:szCs w:val="24"/>
        </w:rPr>
        <w:t>La VA</w:t>
      </w:r>
      <w:r w:rsidR="007A572E">
        <w:rPr>
          <w:sz w:val="24"/>
          <w:szCs w:val="24"/>
        </w:rPr>
        <w:t xml:space="preserve"> </w:t>
      </w:r>
      <w:r w:rsidR="000805EF">
        <w:rPr>
          <w:sz w:val="24"/>
          <w:szCs w:val="24"/>
        </w:rPr>
        <w:t>aprobará e</w:t>
      </w:r>
      <w:r w:rsidR="005F4690" w:rsidRPr="00F67E2A">
        <w:rPr>
          <w:sz w:val="24"/>
          <w:szCs w:val="24"/>
        </w:rPr>
        <w:t>l presupuesto para la inversión d</w:t>
      </w:r>
      <w:r w:rsidR="000805EF">
        <w:rPr>
          <w:sz w:val="24"/>
          <w:szCs w:val="24"/>
        </w:rPr>
        <w:t xml:space="preserve">e materiales bibliográficos </w:t>
      </w:r>
      <w:r w:rsidR="005F4690" w:rsidRPr="00F67E2A">
        <w:rPr>
          <w:sz w:val="24"/>
          <w:szCs w:val="24"/>
        </w:rPr>
        <w:t>entre 8% y el 10% del presupuesto institucional.</w:t>
      </w:r>
    </w:p>
    <w:p w:rsidR="005F4690" w:rsidRPr="00F67E2A" w:rsidRDefault="000805EF" w:rsidP="007A572E">
      <w:pPr>
        <w:numPr>
          <w:ilvl w:val="0"/>
          <w:numId w:val="8"/>
        </w:numPr>
        <w:suppressAutoHyphens w:val="0"/>
        <w:spacing w:line="360" w:lineRule="auto"/>
        <w:jc w:val="both"/>
        <w:rPr>
          <w:sz w:val="24"/>
          <w:szCs w:val="24"/>
        </w:rPr>
      </w:pPr>
      <w:r>
        <w:rPr>
          <w:sz w:val="24"/>
          <w:szCs w:val="24"/>
        </w:rPr>
        <w:lastRenderedPageBreak/>
        <w:t>El DDC elaborará l</w:t>
      </w:r>
      <w:r w:rsidR="005F4690" w:rsidRPr="00F67E2A">
        <w:rPr>
          <w:sz w:val="24"/>
          <w:szCs w:val="24"/>
        </w:rPr>
        <w:t>a planeación anual para la renovación o adquisición de materiales bibliográficos será incluida en el plan estratégico de la UDLAP.</w:t>
      </w:r>
    </w:p>
    <w:p w:rsidR="005F4690" w:rsidRPr="00F67E2A" w:rsidRDefault="000805EF" w:rsidP="007A572E">
      <w:pPr>
        <w:numPr>
          <w:ilvl w:val="0"/>
          <w:numId w:val="8"/>
        </w:numPr>
        <w:suppressAutoHyphens w:val="0"/>
        <w:spacing w:line="360" w:lineRule="auto"/>
        <w:jc w:val="both"/>
        <w:rPr>
          <w:sz w:val="24"/>
          <w:szCs w:val="24"/>
        </w:rPr>
      </w:pPr>
      <w:r>
        <w:rPr>
          <w:sz w:val="24"/>
          <w:szCs w:val="24"/>
        </w:rPr>
        <w:t>El DDC</w:t>
      </w:r>
      <w:r w:rsidR="005F4690" w:rsidRPr="00F67E2A">
        <w:rPr>
          <w:sz w:val="24"/>
          <w:szCs w:val="24"/>
        </w:rPr>
        <w:t xml:space="preserve"> </w:t>
      </w:r>
      <w:r>
        <w:rPr>
          <w:sz w:val="24"/>
          <w:szCs w:val="24"/>
        </w:rPr>
        <w:t xml:space="preserve">podrá modificar la </w:t>
      </w:r>
      <w:r w:rsidR="005F4690" w:rsidRPr="00F67E2A">
        <w:rPr>
          <w:sz w:val="24"/>
          <w:szCs w:val="24"/>
        </w:rPr>
        <w:t>distribuc</w:t>
      </w:r>
      <w:r>
        <w:rPr>
          <w:sz w:val="24"/>
          <w:szCs w:val="24"/>
        </w:rPr>
        <w:t xml:space="preserve">ión del presupuesto </w:t>
      </w:r>
      <w:r w:rsidR="005F4690" w:rsidRPr="00F67E2A">
        <w:rPr>
          <w:sz w:val="24"/>
          <w:szCs w:val="24"/>
        </w:rPr>
        <w:t xml:space="preserve"> para la renovación o adquisición de p</w:t>
      </w:r>
      <w:r>
        <w:rPr>
          <w:sz w:val="24"/>
          <w:szCs w:val="24"/>
        </w:rPr>
        <w:t xml:space="preserve">ublicaciones periódicas y </w:t>
      </w:r>
      <w:r w:rsidR="005F4690" w:rsidRPr="00F67E2A">
        <w:rPr>
          <w:sz w:val="24"/>
          <w:szCs w:val="24"/>
        </w:rPr>
        <w:t xml:space="preserve"> para la adquisición de libros.</w:t>
      </w:r>
    </w:p>
    <w:p w:rsidR="005F4690" w:rsidRPr="00F67E2A" w:rsidRDefault="009A0BE4" w:rsidP="007A572E">
      <w:pPr>
        <w:numPr>
          <w:ilvl w:val="0"/>
          <w:numId w:val="8"/>
        </w:numPr>
        <w:suppressAutoHyphens w:val="0"/>
        <w:spacing w:line="360" w:lineRule="auto"/>
        <w:jc w:val="both"/>
        <w:rPr>
          <w:sz w:val="24"/>
          <w:szCs w:val="24"/>
        </w:rPr>
      </w:pPr>
      <w:r>
        <w:rPr>
          <w:sz w:val="24"/>
          <w:szCs w:val="24"/>
        </w:rPr>
        <w:t xml:space="preserve">El DDC y los bibliógrafos </w:t>
      </w:r>
      <w:r w:rsidR="000805EF">
        <w:rPr>
          <w:sz w:val="24"/>
          <w:szCs w:val="24"/>
        </w:rPr>
        <w:t>aplicarán</w:t>
      </w:r>
      <w:r w:rsidR="005F4690" w:rsidRPr="00F67E2A">
        <w:rPr>
          <w:sz w:val="24"/>
          <w:szCs w:val="24"/>
        </w:rPr>
        <w:t xml:space="preserve"> la fórmula para la distribución presupuestal de acuerdo al porcentaje que haya sido otorgado para la compra de libros, siempre y cuando el presupuesto asignado corresponda al solicitado en la planeación anual.</w:t>
      </w:r>
    </w:p>
    <w:p w:rsidR="005F4690" w:rsidRPr="00F67E2A" w:rsidRDefault="005F4690" w:rsidP="007A572E">
      <w:pPr>
        <w:spacing w:line="360" w:lineRule="auto"/>
        <w:ind w:left="360"/>
        <w:jc w:val="both"/>
        <w:rPr>
          <w:b/>
          <w:sz w:val="24"/>
          <w:szCs w:val="24"/>
        </w:rPr>
      </w:pPr>
      <w:r w:rsidRPr="00F67E2A">
        <w:rPr>
          <w:b/>
          <w:sz w:val="24"/>
          <w:szCs w:val="24"/>
        </w:rPr>
        <w:t>Responsabilidades</w:t>
      </w:r>
    </w:p>
    <w:p w:rsidR="005F4690" w:rsidRPr="00F67E2A" w:rsidRDefault="005F4690" w:rsidP="00F67E2A">
      <w:pPr>
        <w:numPr>
          <w:ilvl w:val="0"/>
          <w:numId w:val="8"/>
        </w:numPr>
        <w:spacing w:line="360" w:lineRule="auto"/>
        <w:jc w:val="both"/>
        <w:rPr>
          <w:sz w:val="24"/>
          <w:szCs w:val="24"/>
        </w:rPr>
      </w:pPr>
      <w:r w:rsidRPr="00F67E2A">
        <w:rPr>
          <w:sz w:val="24"/>
          <w:szCs w:val="24"/>
        </w:rPr>
        <w:t>La Jefatura  de DDC será responsable de elaborar anticipadamente el plan anual para la administración y distribución del presupuesto asignado por la institución, para la adquisición o renovación de los materiales bibliográficos.</w:t>
      </w:r>
    </w:p>
    <w:p w:rsidR="005F4690" w:rsidRPr="00F67E2A" w:rsidRDefault="009A0BE4" w:rsidP="00F67E2A">
      <w:pPr>
        <w:numPr>
          <w:ilvl w:val="0"/>
          <w:numId w:val="8"/>
        </w:numPr>
        <w:spacing w:line="360" w:lineRule="auto"/>
        <w:jc w:val="both"/>
        <w:rPr>
          <w:sz w:val="24"/>
          <w:szCs w:val="24"/>
        </w:rPr>
      </w:pPr>
      <w:r>
        <w:rPr>
          <w:sz w:val="24"/>
          <w:szCs w:val="24"/>
        </w:rPr>
        <w:t xml:space="preserve">DIR </w:t>
      </w:r>
      <w:r w:rsidR="005F4690" w:rsidRPr="00F67E2A">
        <w:rPr>
          <w:sz w:val="24"/>
          <w:szCs w:val="24"/>
        </w:rPr>
        <w:t>revisará y enviará el plan anual presupuestal</w:t>
      </w:r>
      <w:r>
        <w:rPr>
          <w:sz w:val="24"/>
          <w:szCs w:val="24"/>
        </w:rPr>
        <w:t xml:space="preserve"> a la Vicerrectoría Académica </w:t>
      </w:r>
      <w:r w:rsidR="005F4690" w:rsidRPr="00F67E2A">
        <w:rPr>
          <w:sz w:val="24"/>
          <w:szCs w:val="24"/>
        </w:rPr>
        <w:t>para incluir éste en el plan estratégico de la UDLAP.</w:t>
      </w:r>
    </w:p>
    <w:p w:rsidR="005F4690" w:rsidRPr="00F67E2A" w:rsidRDefault="005F4690" w:rsidP="003D5CA6">
      <w:pPr>
        <w:spacing w:line="360" w:lineRule="auto"/>
        <w:ind w:left="360"/>
        <w:jc w:val="both"/>
        <w:rPr>
          <w:sz w:val="24"/>
          <w:szCs w:val="24"/>
        </w:rPr>
      </w:pPr>
      <w:r w:rsidRPr="00F67E2A">
        <w:rPr>
          <w:sz w:val="24"/>
          <w:szCs w:val="24"/>
        </w:rPr>
        <w:t>El DPAF será responsable de:</w:t>
      </w:r>
    </w:p>
    <w:p w:rsidR="005F4690" w:rsidRPr="00F67E2A" w:rsidRDefault="005F4690" w:rsidP="007A572E">
      <w:pPr>
        <w:numPr>
          <w:ilvl w:val="0"/>
          <w:numId w:val="8"/>
        </w:numPr>
        <w:suppressAutoHyphens w:val="0"/>
        <w:spacing w:line="360" w:lineRule="auto"/>
        <w:jc w:val="both"/>
        <w:rPr>
          <w:sz w:val="24"/>
          <w:szCs w:val="24"/>
        </w:rPr>
      </w:pPr>
      <w:r w:rsidRPr="00F67E2A">
        <w:rPr>
          <w:sz w:val="24"/>
          <w:szCs w:val="24"/>
        </w:rPr>
        <w:t>notificar por escrito los primeros días de cada mes al DDC la asignación del presupuesto.</w:t>
      </w:r>
    </w:p>
    <w:p w:rsidR="005F4690" w:rsidRPr="00F67E2A" w:rsidRDefault="005F4690" w:rsidP="007A572E">
      <w:pPr>
        <w:numPr>
          <w:ilvl w:val="0"/>
          <w:numId w:val="8"/>
        </w:numPr>
        <w:suppressAutoHyphens w:val="0"/>
        <w:spacing w:line="360" w:lineRule="auto"/>
        <w:jc w:val="both"/>
        <w:rPr>
          <w:sz w:val="24"/>
          <w:szCs w:val="24"/>
        </w:rPr>
      </w:pPr>
      <w:r w:rsidRPr="00F67E2A">
        <w:rPr>
          <w:sz w:val="24"/>
          <w:szCs w:val="24"/>
        </w:rPr>
        <w:t>Registrar en la cuenta de inversión los movimientos de ingreso y egreso que se lleven a cabo durante el mes.</w:t>
      </w:r>
    </w:p>
    <w:p w:rsidR="005F4690" w:rsidRPr="00F67E2A" w:rsidRDefault="005F4690" w:rsidP="007A572E">
      <w:pPr>
        <w:numPr>
          <w:ilvl w:val="0"/>
          <w:numId w:val="8"/>
        </w:numPr>
        <w:suppressAutoHyphens w:val="0"/>
        <w:spacing w:line="360" w:lineRule="auto"/>
        <w:jc w:val="both"/>
        <w:rPr>
          <w:sz w:val="24"/>
          <w:szCs w:val="24"/>
        </w:rPr>
      </w:pPr>
      <w:r w:rsidRPr="00F67E2A">
        <w:rPr>
          <w:sz w:val="24"/>
          <w:szCs w:val="24"/>
        </w:rPr>
        <w:t>Generar y enviar mensualmente al DDC los reportes de los movimientos presupuestales de la cuenta de inversión.</w:t>
      </w:r>
    </w:p>
    <w:p w:rsidR="005F4690" w:rsidRDefault="00A7184D" w:rsidP="007A572E">
      <w:pPr>
        <w:spacing w:line="360" w:lineRule="auto"/>
        <w:ind w:left="360"/>
        <w:jc w:val="both"/>
        <w:rPr>
          <w:b/>
          <w:sz w:val="24"/>
          <w:szCs w:val="24"/>
        </w:rPr>
      </w:pPr>
      <w:r>
        <w:rPr>
          <w:b/>
          <w:sz w:val="24"/>
          <w:szCs w:val="24"/>
        </w:rPr>
        <w:t>Prohibiciones</w:t>
      </w:r>
    </w:p>
    <w:p w:rsidR="00A7184D" w:rsidRDefault="00A7184D" w:rsidP="007A572E">
      <w:pPr>
        <w:spacing w:line="360" w:lineRule="auto"/>
        <w:ind w:left="360"/>
        <w:jc w:val="both"/>
        <w:rPr>
          <w:b/>
          <w:sz w:val="24"/>
          <w:szCs w:val="24"/>
        </w:rPr>
      </w:pPr>
      <w:r>
        <w:rPr>
          <w:b/>
          <w:sz w:val="24"/>
          <w:szCs w:val="24"/>
        </w:rPr>
        <w:t>Acciones por incumplimiento</w:t>
      </w:r>
    </w:p>
    <w:p w:rsidR="00A7184D" w:rsidRDefault="00A7184D" w:rsidP="007A572E">
      <w:pPr>
        <w:spacing w:line="360" w:lineRule="auto"/>
        <w:ind w:left="360"/>
        <w:jc w:val="both"/>
        <w:rPr>
          <w:b/>
          <w:sz w:val="24"/>
          <w:szCs w:val="24"/>
        </w:rPr>
      </w:pPr>
      <w:r>
        <w:rPr>
          <w:b/>
          <w:sz w:val="24"/>
          <w:szCs w:val="24"/>
        </w:rPr>
        <w:t>Excepciones</w:t>
      </w:r>
    </w:p>
    <w:p w:rsidR="00A7184D" w:rsidRPr="00A7184D" w:rsidRDefault="00A7184D" w:rsidP="007A572E">
      <w:pPr>
        <w:numPr>
          <w:ilvl w:val="0"/>
          <w:numId w:val="8"/>
        </w:numPr>
        <w:spacing w:line="360" w:lineRule="auto"/>
        <w:jc w:val="both"/>
        <w:rPr>
          <w:sz w:val="24"/>
          <w:szCs w:val="24"/>
        </w:rPr>
      </w:pPr>
      <w:r w:rsidRPr="00A7184D">
        <w:rPr>
          <w:sz w:val="24"/>
          <w:szCs w:val="24"/>
        </w:rPr>
        <w:t>No habrá  excepción alguna en esta política</w:t>
      </w:r>
      <w:r w:rsidR="003D5CA6">
        <w:rPr>
          <w:sz w:val="24"/>
          <w:szCs w:val="24"/>
        </w:rPr>
        <w:t>.</w:t>
      </w:r>
    </w:p>
    <w:p w:rsidR="00A7184D" w:rsidRDefault="00A7184D" w:rsidP="007A572E">
      <w:pPr>
        <w:spacing w:line="360" w:lineRule="auto"/>
        <w:ind w:left="360"/>
        <w:jc w:val="both"/>
        <w:rPr>
          <w:b/>
          <w:sz w:val="24"/>
          <w:szCs w:val="24"/>
        </w:rPr>
      </w:pPr>
      <w:r>
        <w:rPr>
          <w:b/>
          <w:sz w:val="24"/>
          <w:szCs w:val="24"/>
        </w:rPr>
        <w:t>Transitorios</w:t>
      </w:r>
    </w:p>
    <w:p w:rsidR="00A7184D" w:rsidRPr="00A7184D" w:rsidRDefault="007A572E" w:rsidP="007A572E">
      <w:pPr>
        <w:numPr>
          <w:ilvl w:val="0"/>
          <w:numId w:val="8"/>
        </w:numPr>
        <w:spacing w:line="360" w:lineRule="auto"/>
        <w:jc w:val="both"/>
        <w:rPr>
          <w:sz w:val="24"/>
          <w:szCs w:val="24"/>
        </w:rPr>
      </w:pPr>
      <w:r>
        <w:rPr>
          <w:sz w:val="24"/>
          <w:szCs w:val="24"/>
        </w:rPr>
        <w:t>La presente norma entra en vigor</w:t>
      </w:r>
      <w:r w:rsidR="00A7184D" w:rsidRPr="00A7184D">
        <w:rPr>
          <w:sz w:val="24"/>
          <w:szCs w:val="24"/>
        </w:rPr>
        <w:t xml:space="preserve"> a partir de su autorización.</w:t>
      </w:r>
    </w:p>
    <w:p w:rsidR="00F40671" w:rsidRDefault="00F40671" w:rsidP="00F67E2A">
      <w:pPr>
        <w:spacing w:line="360" w:lineRule="auto"/>
        <w:jc w:val="both"/>
        <w:rPr>
          <w:b/>
          <w:sz w:val="24"/>
          <w:szCs w:val="24"/>
        </w:rPr>
      </w:pPr>
    </w:p>
    <w:p w:rsidR="005F4690" w:rsidRPr="00F67E2A" w:rsidRDefault="00F67E2A" w:rsidP="00F67E2A">
      <w:pPr>
        <w:spacing w:line="360" w:lineRule="auto"/>
        <w:jc w:val="both"/>
        <w:rPr>
          <w:b/>
          <w:sz w:val="24"/>
          <w:szCs w:val="24"/>
        </w:rPr>
      </w:pPr>
      <w:r>
        <w:rPr>
          <w:b/>
          <w:sz w:val="24"/>
          <w:szCs w:val="24"/>
        </w:rPr>
        <w:lastRenderedPageBreak/>
        <w:t xml:space="preserve">IV.- </w:t>
      </w:r>
      <w:r w:rsidR="005F4690" w:rsidRPr="00F67E2A">
        <w:rPr>
          <w:b/>
          <w:sz w:val="24"/>
          <w:szCs w:val="24"/>
        </w:rPr>
        <w:t>Procedimiento</w:t>
      </w:r>
    </w:p>
    <w:p w:rsidR="005F4690" w:rsidRPr="00F67E2A" w:rsidRDefault="005F4690" w:rsidP="00F67E2A">
      <w:pPr>
        <w:numPr>
          <w:ilvl w:val="0"/>
          <w:numId w:val="7"/>
        </w:numPr>
        <w:suppressAutoHyphens w:val="0"/>
        <w:spacing w:line="360" w:lineRule="auto"/>
        <w:jc w:val="both"/>
        <w:rPr>
          <w:sz w:val="24"/>
          <w:szCs w:val="24"/>
        </w:rPr>
      </w:pPr>
      <w:r w:rsidRPr="00F67E2A">
        <w:rPr>
          <w:sz w:val="24"/>
          <w:szCs w:val="24"/>
        </w:rPr>
        <w:t>Las coordinaciones de Adquisiciones y Publicaciones Periódicas entregarán la propuesta para cubrir los compromisos para la renovación o adquisición de material bibliográfico, de acuerdo a las siguientes razones:</w:t>
      </w:r>
    </w:p>
    <w:p w:rsidR="005F4690" w:rsidRPr="00F67E2A" w:rsidRDefault="005F4690" w:rsidP="00F67E2A">
      <w:pPr>
        <w:numPr>
          <w:ilvl w:val="1"/>
          <w:numId w:val="7"/>
        </w:numPr>
        <w:suppressAutoHyphens w:val="0"/>
        <w:spacing w:line="360" w:lineRule="auto"/>
        <w:jc w:val="both"/>
        <w:rPr>
          <w:sz w:val="24"/>
          <w:szCs w:val="24"/>
        </w:rPr>
      </w:pPr>
      <w:r w:rsidRPr="00F67E2A">
        <w:rPr>
          <w:sz w:val="24"/>
          <w:szCs w:val="24"/>
        </w:rPr>
        <w:t>Número de solicitudes que se reciban a través del sistema de Adquisiciones para la compra de libros.</w:t>
      </w:r>
    </w:p>
    <w:p w:rsidR="005F4690" w:rsidRPr="00F67E2A" w:rsidRDefault="005F4690" w:rsidP="00F67E2A">
      <w:pPr>
        <w:numPr>
          <w:ilvl w:val="1"/>
          <w:numId w:val="7"/>
        </w:numPr>
        <w:suppressAutoHyphens w:val="0"/>
        <w:spacing w:line="360" w:lineRule="auto"/>
        <w:jc w:val="both"/>
        <w:rPr>
          <w:sz w:val="24"/>
          <w:szCs w:val="24"/>
        </w:rPr>
      </w:pPr>
      <w:r w:rsidRPr="00F67E2A">
        <w:rPr>
          <w:sz w:val="24"/>
          <w:szCs w:val="24"/>
        </w:rPr>
        <w:t>Propuesta de cambio de títulos de publicaciones periódicas (cambio de formato impreso al electrónico, cancelaciones o sólo acceso electrónico).</w:t>
      </w:r>
    </w:p>
    <w:p w:rsidR="005F4690" w:rsidRPr="00F67E2A" w:rsidRDefault="005F4690" w:rsidP="00F40671">
      <w:pPr>
        <w:numPr>
          <w:ilvl w:val="1"/>
          <w:numId w:val="7"/>
        </w:numPr>
        <w:suppressAutoHyphens w:val="0"/>
        <w:spacing w:line="360" w:lineRule="auto"/>
        <w:jc w:val="both"/>
        <w:rPr>
          <w:sz w:val="24"/>
          <w:szCs w:val="24"/>
        </w:rPr>
      </w:pPr>
      <w:r w:rsidRPr="00F67E2A">
        <w:rPr>
          <w:sz w:val="24"/>
          <w:szCs w:val="24"/>
        </w:rPr>
        <w:t>Recepción de cotizaciones por parte del proveedor (pre-facturas) para la renovación de los títulos de publicaciones periódicas.</w:t>
      </w:r>
    </w:p>
    <w:p w:rsidR="005F4690" w:rsidRPr="00F67E2A" w:rsidRDefault="005F4690" w:rsidP="00F40671">
      <w:pPr>
        <w:numPr>
          <w:ilvl w:val="0"/>
          <w:numId w:val="7"/>
        </w:numPr>
        <w:suppressAutoHyphens w:val="0"/>
        <w:spacing w:line="360" w:lineRule="auto"/>
        <w:jc w:val="both"/>
        <w:rPr>
          <w:sz w:val="24"/>
          <w:szCs w:val="24"/>
        </w:rPr>
      </w:pPr>
      <w:r w:rsidRPr="00F67E2A">
        <w:rPr>
          <w:sz w:val="24"/>
          <w:szCs w:val="24"/>
        </w:rPr>
        <w:t>La jefatura de DDC entregará la pl</w:t>
      </w:r>
      <w:r w:rsidR="003D5CA6">
        <w:rPr>
          <w:sz w:val="24"/>
          <w:szCs w:val="24"/>
        </w:rPr>
        <w:t>aneación presupuestal a la SGB</w:t>
      </w:r>
      <w:r w:rsidRPr="00F67E2A">
        <w:rPr>
          <w:sz w:val="24"/>
          <w:szCs w:val="24"/>
        </w:rPr>
        <w:t xml:space="preserve"> para revisarla y entregar ésta a:</w:t>
      </w:r>
    </w:p>
    <w:p w:rsidR="005F4690" w:rsidRPr="00F67E2A" w:rsidRDefault="009A0BE4" w:rsidP="00F67E2A">
      <w:pPr>
        <w:numPr>
          <w:ilvl w:val="1"/>
          <w:numId w:val="7"/>
        </w:numPr>
        <w:suppressAutoHyphens w:val="0"/>
        <w:spacing w:line="360" w:lineRule="auto"/>
        <w:jc w:val="both"/>
        <w:rPr>
          <w:sz w:val="24"/>
          <w:szCs w:val="24"/>
        </w:rPr>
      </w:pPr>
      <w:r>
        <w:rPr>
          <w:sz w:val="24"/>
          <w:szCs w:val="24"/>
        </w:rPr>
        <w:t>Dirección del CIRIA.</w:t>
      </w:r>
    </w:p>
    <w:p w:rsidR="005F4690" w:rsidRPr="00F67E2A" w:rsidRDefault="005F4690" w:rsidP="00F40671">
      <w:pPr>
        <w:numPr>
          <w:ilvl w:val="1"/>
          <w:numId w:val="7"/>
        </w:numPr>
        <w:suppressAutoHyphens w:val="0"/>
        <w:spacing w:line="360" w:lineRule="auto"/>
        <w:jc w:val="both"/>
        <w:rPr>
          <w:sz w:val="24"/>
          <w:szCs w:val="24"/>
        </w:rPr>
      </w:pPr>
      <w:r w:rsidRPr="00F67E2A">
        <w:rPr>
          <w:sz w:val="24"/>
          <w:szCs w:val="24"/>
        </w:rPr>
        <w:t xml:space="preserve">Vicerrectoría </w:t>
      </w:r>
      <w:r w:rsidR="009A0BE4">
        <w:rPr>
          <w:sz w:val="24"/>
          <w:szCs w:val="24"/>
        </w:rPr>
        <w:t>Académica</w:t>
      </w:r>
    </w:p>
    <w:p w:rsidR="005F4690" w:rsidRPr="00F67E2A" w:rsidRDefault="003D5CA6" w:rsidP="00F40671">
      <w:pPr>
        <w:widowControl w:val="0"/>
        <w:numPr>
          <w:ilvl w:val="0"/>
          <w:numId w:val="7"/>
        </w:numPr>
        <w:spacing w:line="360" w:lineRule="auto"/>
        <w:jc w:val="both"/>
        <w:rPr>
          <w:sz w:val="24"/>
          <w:szCs w:val="24"/>
        </w:rPr>
      </w:pPr>
      <w:r>
        <w:rPr>
          <w:sz w:val="24"/>
          <w:szCs w:val="24"/>
        </w:rPr>
        <w:t>La VA</w:t>
      </w:r>
      <w:r w:rsidR="005F4690" w:rsidRPr="00F67E2A">
        <w:rPr>
          <w:sz w:val="24"/>
          <w:szCs w:val="24"/>
        </w:rPr>
        <w:t xml:space="preserve"> notific</w:t>
      </w:r>
      <w:r w:rsidR="009A0BE4">
        <w:rPr>
          <w:sz w:val="24"/>
          <w:szCs w:val="24"/>
        </w:rPr>
        <w:t>ará a la DIR</w:t>
      </w:r>
      <w:r w:rsidR="005F4690" w:rsidRPr="00F67E2A">
        <w:rPr>
          <w:sz w:val="24"/>
          <w:szCs w:val="24"/>
        </w:rPr>
        <w:t xml:space="preserve"> si hubo cambios o se aceptó la propuesta presupuestal. La autorización la enviará a la Dirección </w:t>
      </w:r>
      <w:r w:rsidR="009A0BE4">
        <w:rPr>
          <w:sz w:val="24"/>
          <w:szCs w:val="24"/>
        </w:rPr>
        <w:t xml:space="preserve">General </w:t>
      </w:r>
      <w:r w:rsidR="005F4690" w:rsidRPr="00F67E2A">
        <w:rPr>
          <w:sz w:val="24"/>
          <w:szCs w:val="24"/>
        </w:rPr>
        <w:t>de Finanzas para continuar con los trámites de apertura del presupuesto anual.</w:t>
      </w:r>
    </w:p>
    <w:p w:rsidR="005F4690" w:rsidRPr="00F67E2A" w:rsidRDefault="005F4690" w:rsidP="00F67E2A">
      <w:pPr>
        <w:widowControl w:val="0"/>
        <w:numPr>
          <w:ilvl w:val="0"/>
          <w:numId w:val="7"/>
        </w:numPr>
        <w:spacing w:line="360" w:lineRule="auto"/>
        <w:jc w:val="both"/>
        <w:rPr>
          <w:sz w:val="24"/>
          <w:szCs w:val="24"/>
        </w:rPr>
      </w:pPr>
      <w:r w:rsidRPr="00F67E2A">
        <w:rPr>
          <w:sz w:val="24"/>
          <w:szCs w:val="24"/>
        </w:rPr>
        <w:t>La Jefatura de Presupuesto y Activo Fijo notificará por escrito al DDC la fecha y la cantidad que se deposite mensualmente, así como los reportes mensuales de los movimientos de ingreso como de egreso de la cuenta de inversión.</w:t>
      </w:r>
    </w:p>
    <w:p w:rsidR="0071189F" w:rsidRPr="00F67E2A" w:rsidRDefault="0071189F" w:rsidP="00F67E2A">
      <w:pPr>
        <w:spacing w:line="360" w:lineRule="auto"/>
        <w:ind w:left="284"/>
        <w:jc w:val="both"/>
        <w:rPr>
          <w:sz w:val="24"/>
          <w:szCs w:val="24"/>
        </w:rPr>
      </w:pPr>
    </w:p>
    <w:sectPr w:rsidR="0071189F" w:rsidRPr="00F67E2A"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1F" w:rsidRDefault="00AF101F">
      <w:r>
        <w:separator/>
      </w:r>
    </w:p>
  </w:endnote>
  <w:endnote w:type="continuationSeparator" w:id="0">
    <w:p w:rsidR="00AF101F" w:rsidRDefault="00AF1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1F" w:rsidRDefault="00AF101F">
      <w:r>
        <w:separator/>
      </w:r>
    </w:p>
  </w:footnote>
  <w:footnote w:type="continuationSeparator" w:id="0">
    <w:p w:rsidR="00AF101F" w:rsidRDefault="00AF1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w:t>
          </w:r>
          <w:r w:rsidR="009A0BE4">
            <w:rPr>
              <w:sz w:val="24"/>
              <w:u w:val="single"/>
            </w:rPr>
            <w:t>ión Universidad de las Américas</w:t>
          </w:r>
          <w:r>
            <w:rPr>
              <w:sz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9A0BE4">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9A0BE4" w:rsidP="009A0BE4">
          <w:pPr>
            <w:pStyle w:val="Header"/>
            <w:spacing w:before="80"/>
            <w:jc w:val="center"/>
          </w:pPr>
          <w:r>
            <w:t>Centro Interactivo de Recursos de Información y Aprendizaje – CIRIA.</w:t>
          </w:r>
        </w:p>
      </w:tc>
      <w:tc>
        <w:tcPr>
          <w:tcW w:w="5283" w:type="dxa"/>
          <w:gridSpan w:val="2"/>
          <w:tcBorders>
            <w:left w:val="single" w:sz="1" w:space="0" w:color="000000"/>
            <w:bottom w:val="single" w:sz="1" w:space="0" w:color="000000"/>
          </w:tcBorders>
        </w:tcPr>
        <w:p w:rsidR="00CE3AB7" w:rsidRPr="00E608CE" w:rsidRDefault="009A0BE4" w:rsidP="009A0BE4">
          <w:pPr>
            <w:spacing w:before="80"/>
            <w:jc w:val="center"/>
            <w:rPr>
              <w:b/>
              <w:sz w:val="24"/>
              <w:szCs w:val="24"/>
            </w:rPr>
          </w:pPr>
          <w:r>
            <w:rPr>
              <w:b/>
              <w:sz w:val="24"/>
              <w:szCs w:val="24"/>
              <w:lang w:val="es-ES_tradnl"/>
            </w:rPr>
            <w:t xml:space="preserve">Planeación </w:t>
          </w:r>
          <w:r w:rsidR="005F4690" w:rsidRPr="00E608CE">
            <w:rPr>
              <w:b/>
              <w:sz w:val="24"/>
              <w:szCs w:val="24"/>
              <w:lang w:val="es-ES_tradnl"/>
            </w:rPr>
            <w:t>del presupuesto de la cuenta de inversión</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9A0BE4">
            <w:rPr>
              <w:rStyle w:val="PageNumber"/>
              <w:noProof/>
            </w:rPr>
            <w:t>3</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9A0BE4">
            <w:rPr>
              <w:rStyle w:val="PageNumber"/>
              <w:noProof/>
            </w:rPr>
            <w:t>3</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Pr="000E2962" w:rsidRDefault="00CE3AB7">
          <w:pPr>
            <w:pStyle w:val="Header"/>
            <w:spacing w:before="60"/>
          </w:pPr>
          <w:r w:rsidRPr="000E2962">
            <w:t xml:space="preserve">  REVIS</w:t>
          </w:r>
          <w:r w:rsidR="00F67E2A">
            <w:t>Ó</w:t>
          </w:r>
          <w:r w:rsidR="000E2962">
            <w:t>:</w:t>
          </w:r>
        </w:p>
        <w:p w:rsidR="00CE3AB7" w:rsidRDefault="009A0BE4">
          <w:pPr>
            <w:pStyle w:val="Header"/>
          </w:pPr>
          <w:r>
            <w:t>Lic. Araceli García Roldán.</w:t>
          </w:r>
        </w:p>
        <w:p w:rsidR="009A0BE4" w:rsidRPr="000E2962" w:rsidRDefault="009A0BE4">
          <w:pPr>
            <w:pStyle w:val="Header"/>
          </w:pPr>
          <w:r>
            <w:t>Jefa del Departamento de Desarrollo de Colección</w:t>
          </w:r>
        </w:p>
      </w:tc>
      <w:tc>
        <w:tcPr>
          <w:tcW w:w="3831" w:type="dxa"/>
          <w:gridSpan w:val="3"/>
          <w:tcBorders>
            <w:left w:val="single" w:sz="1" w:space="0" w:color="000000"/>
            <w:bottom w:val="single" w:sz="1" w:space="0" w:color="000000"/>
            <w:right w:val="single" w:sz="1" w:space="0" w:color="000000"/>
          </w:tcBorders>
        </w:tcPr>
        <w:p w:rsidR="00CE3AB7" w:rsidRPr="000E2962" w:rsidRDefault="00CE3AB7">
          <w:pPr>
            <w:pStyle w:val="Header"/>
            <w:spacing w:before="60"/>
          </w:pPr>
          <w:r w:rsidRPr="000E2962">
            <w:t xml:space="preserve"> AUTORIZÓ: </w:t>
          </w:r>
        </w:p>
        <w:p w:rsidR="009A0BE4" w:rsidRPr="000E2962" w:rsidRDefault="009A0BE4" w:rsidP="009A0BE4">
          <w:pPr>
            <w:pStyle w:val="Header"/>
            <w:spacing w:before="60"/>
          </w:pPr>
          <w:r>
            <w:t>Mtro. Arturo Arrieta Audiffred</w:t>
          </w:r>
        </w:p>
        <w:p w:rsidR="00CE3AB7" w:rsidRPr="000E2962" w:rsidRDefault="009A0BE4">
          <w:pPr>
            <w:pStyle w:val="Header"/>
          </w:pPr>
          <w:r>
            <w:t>Director del CIRIA.</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170409"/>
    <w:lvl w:ilvl="0">
      <w:start w:val="1"/>
      <w:numFmt w:val="lowerLetter"/>
      <w:lvlText w:val="%1)"/>
      <w:lvlJc w:val="left"/>
      <w:pPr>
        <w:tabs>
          <w:tab w:val="num" w:pos="360"/>
        </w:tabs>
        <w:ind w:left="360" w:hanging="360"/>
      </w:pPr>
    </w:lvl>
  </w:abstractNum>
  <w:abstractNum w:abstractNumId="1">
    <w:nsid w:val="129D430E"/>
    <w:multiLevelType w:val="hybridMultilevel"/>
    <w:tmpl w:val="50CC0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3">
    <w:nsid w:val="4452357D"/>
    <w:multiLevelType w:val="hybridMultilevel"/>
    <w:tmpl w:val="1C8EF6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9937822"/>
    <w:multiLevelType w:val="hybridMultilevel"/>
    <w:tmpl w:val="9D847E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8B485F"/>
    <w:multiLevelType w:val="hybridMultilevel"/>
    <w:tmpl w:val="18B8AB12"/>
    <w:lvl w:ilvl="0" w:tplc="2A14A4EA">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7CFD41B4"/>
    <w:multiLevelType w:val="multilevel"/>
    <w:tmpl w:val="79FAD8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Zero"/>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05EF"/>
    <w:rsid w:val="00081E9C"/>
    <w:rsid w:val="00082618"/>
    <w:rsid w:val="000838B7"/>
    <w:rsid w:val="00093C23"/>
    <w:rsid w:val="000957F2"/>
    <w:rsid w:val="000A36FB"/>
    <w:rsid w:val="000B5CE2"/>
    <w:rsid w:val="000E2962"/>
    <w:rsid w:val="000F0010"/>
    <w:rsid w:val="000F7685"/>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A1D09"/>
    <w:rsid w:val="001A7D52"/>
    <w:rsid w:val="001B1D36"/>
    <w:rsid w:val="001C4252"/>
    <w:rsid w:val="001D1034"/>
    <w:rsid w:val="001F2188"/>
    <w:rsid w:val="0021241F"/>
    <w:rsid w:val="0021435F"/>
    <w:rsid w:val="00237AB8"/>
    <w:rsid w:val="00250345"/>
    <w:rsid w:val="00255A3C"/>
    <w:rsid w:val="002618D0"/>
    <w:rsid w:val="00263BDC"/>
    <w:rsid w:val="00281708"/>
    <w:rsid w:val="00287EA5"/>
    <w:rsid w:val="002946B7"/>
    <w:rsid w:val="002A7A75"/>
    <w:rsid w:val="002B0114"/>
    <w:rsid w:val="002B079E"/>
    <w:rsid w:val="002B47C0"/>
    <w:rsid w:val="002B728A"/>
    <w:rsid w:val="002D05E0"/>
    <w:rsid w:val="002D6529"/>
    <w:rsid w:val="002E37B4"/>
    <w:rsid w:val="002F5F6E"/>
    <w:rsid w:val="002F70CE"/>
    <w:rsid w:val="0030490A"/>
    <w:rsid w:val="0031081E"/>
    <w:rsid w:val="0031134A"/>
    <w:rsid w:val="003136FF"/>
    <w:rsid w:val="0031508D"/>
    <w:rsid w:val="00326A85"/>
    <w:rsid w:val="00330BF1"/>
    <w:rsid w:val="00333A1B"/>
    <w:rsid w:val="003748FA"/>
    <w:rsid w:val="00380E44"/>
    <w:rsid w:val="003909CE"/>
    <w:rsid w:val="003A2873"/>
    <w:rsid w:val="003A68A6"/>
    <w:rsid w:val="003A6BDB"/>
    <w:rsid w:val="003B2BFE"/>
    <w:rsid w:val="003C02E3"/>
    <w:rsid w:val="003C3C44"/>
    <w:rsid w:val="003D58EC"/>
    <w:rsid w:val="003D5CA6"/>
    <w:rsid w:val="0040326A"/>
    <w:rsid w:val="00414680"/>
    <w:rsid w:val="004251B5"/>
    <w:rsid w:val="00445CD5"/>
    <w:rsid w:val="0046072D"/>
    <w:rsid w:val="004614CE"/>
    <w:rsid w:val="0047677C"/>
    <w:rsid w:val="00482D5F"/>
    <w:rsid w:val="00485973"/>
    <w:rsid w:val="004917D2"/>
    <w:rsid w:val="004935D1"/>
    <w:rsid w:val="00493BB7"/>
    <w:rsid w:val="004A7015"/>
    <w:rsid w:val="004A7631"/>
    <w:rsid w:val="004C0B9B"/>
    <w:rsid w:val="004C792C"/>
    <w:rsid w:val="004C7A94"/>
    <w:rsid w:val="004D0ACC"/>
    <w:rsid w:val="004E1145"/>
    <w:rsid w:val="004E6324"/>
    <w:rsid w:val="004F0C5B"/>
    <w:rsid w:val="00502FA1"/>
    <w:rsid w:val="00513252"/>
    <w:rsid w:val="00513483"/>
    <w:rsid w:val="005163E6"/>
    <w:rsid w:val="00531FE9"/>
    <w:rsid w:val="00561998"/>
    <w:rsid w:val="00562F8C"/>
    <w:rsid w:val="0057214B"/>
    <w:rsid w:val="00575ACB"/>
    <w:rsid w:val="005768A3"/>
    <w:rsid w:val="00577A0E"/>
    <w:rsid w:val="005B366F"/>
    <w:rsid w:val="005B44B0"/>
    <w:rsid w:val="005C2AAC"/>
    <w:rsid w:val="005C460A"/>
    <w:rsid w:val="005C4C28"/>
    <w:rsid w:val="005E4F81"/>
    <w:rsid w:val="005F2083"/>
    <w:rsid w:val="005F2922"/>
    <w:rsid w:val="005F4690"/>
    <w:rsid w:val="0060157A"/>
    <w:rsid w:val="00601D60"/>
    <w:rsid w:val="00607F35"/>
    <w:rsid w:val="00612B3A"/>
    <w:rsid w:val="006150FF"/>
    <w:rsid w:val="006260FA"/>
    <w:rsid w:val="00626CC0"/>
    <w:rsid w:val="006359E9"/>
    <w:rsid w:val="00642DE7"/>
    <w:rsid w:val="00665EEC"/>
    <w:rsid w:val="0067321C"/>
    <w:rsid w:val="00675E7C"/>
    <w:rsid w:val="006811CF"/>
    <w:rsid w:val="00682C01"/>
    <w:rsid w:val="00685D7F"/>
    <w:rsid w:val="0069164C"/>
    <w:rsid w:val="0069622C"/>
    <w:rsid w:val="006A1B1D"/>
    <w:rsid w:val="006A1E53"/>
    <w:rsid w:val="006C0E74"/>
    <w:rsid w:val="006C17F3"/>
    <w:rsid w:val="006D00AB"/>
    <w:rsid w:val="006E3C18"/>
    <w:rsid w:val="006F0DBB"/>
    <w:rsid w:val="006F39C7"/>
    <w:rsid w:val="0071189F"/>
    <w:rsid w:val="007175FF"/>
    <w:rsid w:val="00744CAB"/>
    <w:rsid w:val="00747CA7"/>
    <w:rsid w:val="00750C3D"/>
    <w:rsid w:val="007520DC"/>
    <w:rsid w:val="0075617A"/>
    <w:rsid w:val="00765ACC"/>
    <w:rsid w:val="00772639"/>
    <w:rsid w:val="00772E9B"/>
    <w:rsid w:val="007746B7"/>
    <w:rsid w:val="00782E29"/>
    <w:rsid w:val="007836B2"/>
    <w:rsid w:val="00784C3A"/>
    <w:rsid w:val="007A15EA"/>
    <w:rsid w:val="007A312C"/>
    <w:rsid w:val="007A572E"/>
    <w:rsid w:val="007B0CD5"/>
    <w:rsid w:val="007B5335"/>
    <w:rsid w:val="007C3D89"/>
    <w:rsid w:val="007D334B"/>
    <w:rsid w:val="007D7351"/>
    <w:rsid w:val="007E0F62"/>
    <w:rsid w:val="008005AB"/>
    <w:rsid w:val="00802055"/>
    <w:rsid w:val="00810256"/>
    <w:rsid w:val="008128C3"/>
    <w:rsid w:val="00812AFF"/>
    <w:rsid w:val="00817356"/>
    <w:rsid w:val="008315F7"/>
    <w:rsid w:val="008525B4"/>
    <w:rsid w:val="00857A4D"/>
    <w:rsid w:val="00860FA9"/>
    <w:rsid w:val="00873AD2"/>
    <w:rsid w:val="008911FE"/>
    <w:rsid w:val="008A5802"/>
    <w:rsid w:val="008B71D4"/>
    <w:rsid w:val="008C17EF"/>
    <w:rsid w:val="008C1C5F"/>
    <w:rsid w:val="008C7210"/>
    <w:rsid w:val="008D75E7"/>
    <w:rsid w:val="008D7900"/>
    <w:rsid w:val="008E0902"/>
    <w:rsid w:val="009033A4"/>
    <w:rsid w:val="00922225"/>
    <w:rsid w:val="009351CD"/>
    <w:rsid w:val="00942560"/>
    <w:rsid w:val="00950F41"/>
    <w:rsid w:val="00960DB3"/>
    <w:rsid w:val="00990292"/>
    <w:rsid w:val="00991DF3"/>
    <w:rsid w:val="00993A8F"/>
    <w:rsid w:val="009A0BE4"/>
    <w:rsid w:val="009B44E8"/>
    <w:rsid w:val="009C3347"/>
    <w:rsid w:val="009C3569"/>
    <w:rsid w:val="009C45B5"/>
    <w:rsid w:val="009D1274"/>
    <w:rsid w:val="00A141D8"/>
    <w:rsid w:val="00A20651"/>
    <w:rsid w:val="00A254BE"/>
    <w:rsid w:val="00A41081"/>
    <w:rsid w:val="00A43560"/>
    <w:rsid w:val="00A54C8E"/>
    <w:rsid w:val="00A56704"/>
    <w:rsid w:val="00A62563"/>
    <w:rsid w:val="00A7184D"/>
    <w:rsid w:val="00A726B5"/>
    <w:rsid w:val="00A7348C"/>
    <w:rsid w:val="00A75CA0"/>
    <w:rsid w:val="00A8067D"/>
    <w:rsid w:val="00A95D6C"/>
    <w:rsid w:val="00A97ED2"/>
    <w:rsid w:val="00AA47E1"/>
    <w:rsid w:val="00AA5BCD"/>
    <w:rsid w:val="00AC2FC7"/>
    <w:rsid w:val="00AC701D"/>
    <w:rsid w:val="00AD3CA6"/>
    <w:rsid w:val="00AE5056"/>
    <w:rsid w:val="00AE6E37"/>
    <w:rsid w:val="00AF101F"/>
    <w:rsid w:val="00AF62FE"/>
    <w:rsid w:val="00B51082"/>
    <w:rsid w:val="00B5610F"/>
    <w:rsid w:val="00B7682D"/>
    <w:rsid w:val="00B80907"/>
    <w:rsid w:val="00B875A8"/>
    <w:rsid w:val="00BA45EB"/>
    <w:rsid w:val="00BA5674"/>
    <w:rsid w:val="00BC7CBA"/>
    <w:rsid w:val="00BE0494"/>
    <w:rsid w:val="00BE3AC8"/>
    <w:rsid w:val="00BF174D"/>
    <w:rsid w:val="00BF59B1"/>
    <w:rsid w:val="00C174D3"/>
    <w:rsid w:val="00C2265A"/>
    <w:rsid w:val="00C25A79"/>
    <w:rsid w:val="00C3236C"/>
    <w:rsid w:val="00C412F9"/>
    <w:rsid w:val="00C435C6"/>
    <w:rsid w:val="00C442C0"/>
    <w:rsid w:val="00C6400E"/>
    <w:rsid w:val="00C93FE1"/>
    <w:rsid w:val="00CA29DE"/>
    <w:rsid w:val="00CA728F"/>
    <w:rsid w:val="00CB0AB9"/>
    <w:rsid w:val="00CC0E3C"/>
    <w:rsid w:val="00CC4E1C"/>
    <w:rsid w:val="00CD5CD7"/>
    <w:rsid w:val="00CD5E59"/>
    <w:rsid w:val="00CE3AB7"/>
    <w:rsid w:val="00D0776F"/>
    <w:rsid w:val="00D16C36"/>
    <w:rsid w:val="00D222F5"/>
    <w:rsid w:val="00D31426"/>
    <w:rsid w:val="00D360EC"/>
    <w:rsid w:val="00D37ED5"/>
    <w:rsid w:val="00D37F5E"/>
    <w:rsid w:val="00D441A1"/>
    <w:rsid w:val="00D543D1"/>
    <w:rsid w:val="00D61BE0"/>
    <w:rsid w:val="00D679CF"/>
    <w:rsid w:val="00D71A4A"/>
    <w:rsid w:val="00D80A8D"/>
    <w:rsid w:val="00D878EE"/>
    <w:rsid w:val="00D9725B"/>
    <w:rsid w:val="00D9740A"/>
    <w:rsid w:val="00DA0EAE"/>
    <w:rsid w:val="00DB02B2"/>
    <w:rsid w:val="00DB2B66"/>
    <w:rsid w:val="00DB416E"/>
    <w:rsid w:val="00DC50B0"/>
    <w:rsid w:val="00DD2D2D"/>
    <w:rsid w:val="00E02E01"/>
    <w:rsid w:val="00E03385"/>
    <w:rsid w:val="00E06B3D"/>
    <w:rsid w:val="00E13FD4"/>
    <w:rsid w:val="00E22029"/>
    <w:rsid w:val="00E308B8"/>
    <w:rsid w:val="00E318E9"/>
    <w:rsid w:val="00E42620"/>
    <w:rsid w:val="00E436C6"/>
    <w:rsid w:val="00E560AE"/>
    <w:rsid w:val="00E608CE"/>
    <w:rsid w:val="00E620CF"/>
    <w:rsid w:val="00E94673"/>
    <w:rsid w:val="00E97115"/>
    <w:rsid w:val="00EC1DFB"/>
    <w:rsid w:val="00EC65A1"/>
    <w:rsid w:val="00ED7FC3"/>
    <w:rsid w:val="00EF1D91"/>
    <w:rsid w:val="00EF65CE"/>
    <w:rsid w:val="00F006C8"/>
    <w:rsid w:val="00F07878"/>
    <w:rsid w:val="00F13974"/>
    <w:rsid w:val="00F23A04"/>
    <w:rsid w:val="00F25FEA"/>
    <w:rsid w:val="00F34CC5"/>
    <w:rsid w:val="00F40671"/>
    <w:rsid w:val="00F43705"/>
    <w:rsid w:val="00F5072D"/>
    <w:rsid w:val="00F54C81"/>
    <w:rsid w:val="00F54FDF"/>
    <w:rsid w:val="00F67E2A"/>
    <w:rsid w:val="00F718FF"/>
    <w:rsid w:val="00F75415"/>
    <w:rsid w:val="00FA6C50"/>
    <w:rsid w:val="00FC17FC"/>
    <w:rsid w:val="00FC6D4D"/>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2006-07-10T21:18:00Z</cp:lastPrinted>
  <dcterms:created xsi:type="dcterms:W3CDTF">2009-07-10T21:52:00Z</dcterms:created>
  <dcterms:modified xsi:type="dcterms:W3CDTF">2009-07-10T21:52:00Z</dcterms:modified>
</cp:coreProperties>
</file>