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text" w:horzAnchor="margin" w:tblpY="314"/>
        <w:tblW w:w="14220" w:type="dxa"/>
        <w:tblLook w:val="04A0" w:firstRow="1" w:lastRow="0" w:firstColumn="1" w:lastColumn="0" w:noHBand="0" w:noVBand="1"/>
      </w:tblPr>
      <w:tblGrid>
        <w:gridCol w:w="1257"/>
        <w:gridCol w:w="1150"/>
        <w:gridCol w:w="1444"/>
        <w:gridCol w:w="1444"/>
        <w:gridCol w:w="1231"/>
        <w:gridCol w:w="1239"/>
        <w:gridCol w:w="1927"/>
        <w:gridCol w:w="1239"/>
        <w:gridCol w:w="1355"/>
        <w:gridCol w:w="1275"/>
        <w:gridCol w:w="1337"/>
      </w:tblGrid>
      <w:tr w:rsidR="00271CC7" w:rsidRPr="00777C83" w:rsidTr="00B02F04">
        <w:tc>
          <w:tcPr>
            <w:tcW w:w="1200" w:type="dxa"/>
            <w:tcBorders>
              <w:tl2br w:val="single" w:sz="4" w:space="0" w:color="auto"/>
            </w:tcBorders>
          </w:tcPr>
          <w:p w:rsidR="00B63B6F" w:rsidRPr="00777C83" w:rsidRDefault="00B63B6F" w:rsidP="008F19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7C83">
              <w:rPr>
                <w:rFonts w:ascii="Arial" w:hAnsi="Arial" w:cs="Arial"/>
                <w:sz w:val="16"/>
                <w:szCs w:val="16"/>
              </w:rPr>
              <w:t>Ámbito</w:t>
            </w:r>
          </w:p>
          <w:p w:rsidR="00B63B6F" w:rsidRPr="00777C83" w:rsidRDefault="00B63B6F" w:rsidP="008F19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63B6F" w:rsidRPr="00777C83" w:rsidRDefault="00B63B6F" w:rsidP="008F19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7C83">
              <w:rPr>
                <w:rFonts w:ascii="Arial" w:hAnsi="Arial" w:cs="Arial"/>
                <w:sz w:val="16"/>
                <w:szCs w:val="16"/>
              </w:rPr>
              <w:t>Municipio</w:t>
            </w:r>
          </w:p>
        </w:tc>
        <w:tc>
          <w:tcPr>
            <w:tcW w:w="1099" w:type="dxa"/>
          </w:tcPr>
          <w:p w:rsidR="00B63B6F" w:rsidRPr="00777C83" w:rsidRDefault="00B63B6F" w:rsidP="008F19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7C83">
              <w:rPr>
                <w:rFonts w:ascii="Arial" w:hAnsi="Arial" w:cs="Arial"/>
                <w:sz w:val="16"/>
                <w:szCs w:val="16"/>
              </w:rPr>
              <w:t>Educación</w:t>
            </w:r>
          </w:p>
        </w:tc>
        <w:tc>
          <w:tcPr>
            <w:tcW w:w="1378" w:type="dxa"/>
          </w:tcPr>
          <w:p w:rsidR="00B63B6F" w:rsidRPr="00777C83" w:rsidRDefault="00B63B6F" w:rsidP="008F19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7C83">
              <w:rPr>
                <w:rFonts w:ascii="Arial" w:hAnsi="Arial" w:cs="Arial"/>
                <w:sz w:val="16"/>
                <w:szCs w:val="16"/>
              </w:rPr>
              <w:t>Socioeconómico</w:t>
            </w:r>
          </w:p>
        </w:tc>
        <w:tc>
          <w:tcPr>
            <w:tcW w:w="1378" w:type="dxa"/>
          </w:tcPr>
          <w:p w:rsidR="00B63B6F" w:rsidRPr="00777C83" w:rsidRDefault="00B63B6F" w:rsidP="008F19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7C83">
              <w:rPr>
                <w:rFonts w:ascii="Arial" w:hAnsi="Arial" w:cs="Arial"/>
                <w:sz w:val="16"/>
                <w:szCs w:val="16"/>
              </w:rPr>
              <w:t>Conflictos</w:t>
            </w:r>
          </w:p>
        </w:tc>
        <w:tc>
          <w:tcPr>
            <w:tcW w:w="1176" w:type="dxa"/>
          </w:tcPr>
          <w:p w:rsidR="00B63B6F" w:rsidRPr="00777C83" w:rsidRDefault="00B63B6F" w:rsidP="008F19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7C83">
              <w:rPr>
                <w:rFonts w:ascii="Arial" w:hAnsi="Arial" w:cs="Arial"/>
                <w:sz w:val="16"/>
                <w:szCs w:val="16"/>
              </w:rPr>
              <w:t>Organización</w:t>
            </w:r>
          </w:p>
          <w:p w:rsidR="00B63B6F" w:rsidRPr="00777C83" w:rsidRDefault="00B63B6F" w:rsidP="008F19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7C83">
              <w:rPr>
                <w:rFonts w:ascii="Arial" w:hAnsi="Arial" w:cs="Arial"/>
                <w:sz w:val="16"/>
                <w:szCs w:val="16"/>
              </w:rPr>
              <w:t>social</w:t>
            </w:r>
          </w:p>
        </w:tc>
        <w:tc>
          <w:tcPr>
            <w:tcW w:w="1184" w:type="dxa"/>
          </w:tcPr>
          <w:p w:rsidR="00B63B6F" w:rsidRPr="00777C83" w:rsidRDefault="00B63B6F" w:rsidP="008F19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7C83">
              <w:rPr>
                <w:rFonts w:ascii="Arial" w:hAnsi="Arial" w:cs="Arial"/>
                <w:sz w:val="16"/>
                <w:szCs w:val="16"/>
              </w:rPr>
              <w:t>Poblaciones</w:t>
            </w:r>
          </w:p>
          <w:p w:rsidR="00B63B6F" w:rsidRPr="00777C83" w:rsidRDefault="00B63B6F" w:rsidP="008F19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7C83">
              <w:rPr>
                <w:rFonts w:ascii="Arial" w:hAnsi="Arial" w:cs="Arial"/>
                <w:sz w:val="16"/>
                <w:szCs w:val="16"/>
              </w:rPr>
              <w:t>vulnerables</w:t>
            </w:r>
          </w:p>
        </w:tc>
        <w:tc>
          <w:tcPr>
            <w:tcW w:w="1834" w:type="dxa"/>
          </w:tcPr>
          <w:p w:rsidR="00B63B6F" w:rsidRPr="00777C83" w:rsidRDefault="00B63B6F" w:rsidP="008F19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7C83">
              <w:rPr>
                <w:rFonts w:ascii="Arial" w:hAnsi="Arial" w:cs="Arial"/>
                <w:sz w:val="16"/>
                <w:szCs w:val="16"/>
              </w:rPr>
              <w:t>Comunicación</w:t>
            </w:r>
          </w:p>
        </w:tc>
        <w:tc>
          <w:tcPr>
            <w:tcW w:w="1184" w:type="dxa"/>
          </w:tcPr>
          <w:p w:rsidR="00B63B6F" w:rsidRPr="00777C83" w:rsidRDefault="00B63B6F" w:rsidP="008F19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7C83">
              <w:rPr>
                <w:rFonts w:ascii="Arial" w:hAnsi="Arial" w:cs="Arial"/>
                <w:sz w:val="16"/>
                <w:szCs w:val="16"/>
              </w:rPr>
              <w:t xml:space="preserve">Salud  </w:t>
            </w:r>
          </w:p>
        </w:tc>
        <w:tc>
          <w:tcPr>
            <w:tcW w:w="1293" w:type="dxa"/>
          </w:tcPr>
          <w:p w:rsidR="00B63B6F" w:rsidRPr="00777C83" w:rsidRDefault="00B63B6F" w:rsidP="008F19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7C83">
              <w:rPr>
                <w:rFonts w:ascii="Arial" w:hAnsi="Arial" w:cs="Arial"/>
                <w:sz w:val="16"/>
                <w:szCs w:val="16"/>
              </w:rPr>
              <w:t>Político</w:t>
            </w:r>
          </w:p>
        </w:tc>
        <w:tc>
          <w:tcPr>
            <w:tcW w:w="1218" w:type="dxa"/>
          </w:tcPr>
          <w:p w:rsidR="00B63B6F" w:rsidRPr="00777C83" w:rsidRDefault="00B63B6F" w:rsidP="008F19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7C83">
              <w:rPr>
                <w:rFonts w:ascii="Arial" w:hAnsi="Arial" w:cs="Arial"/>
                <w:sz w:val="16"/>
                <w:szCs w:val="16"/>
              </w:rPr>
              <w:t>Inclusión</w:t>
            </w:r>
          </w:p>
          <w:p w:rsidR="00B63B6F" w:rsidRPr="00777C83" w:rsidRDefault="00B63B6F" w:rsidP="008F19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7C83">
              <w:rPr>
                <w:rFonts w:ascii="Arial" w:hAnsi="Arial" w:cs="Arial"/>
                <w:sz w:val="16"/>
                <w:szCs w:val="16"/>
              </w:rPr>
              <w:t>social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63B6F" w:rsidRPr="00777C83" w:rsidRDefault="00B63B6F" w:rsidP="008F19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7C83">
              <w:rPr>
                <w:rFonts w:ascii="Arial" w:hAnsi="Arial" w:cs="Arial"/>
                <w:sz w:val="16"/>
                <w:szCs w:val="16"/>
              </w:rPr>
              <w:t>Ambiental</w:t>
            </w:r>
          </w:p>
        </w:tc>
      </w:tr>
      <w:tr w:rsidR="00271CC7" w:rsidRPr="00777C83" w:rsidTr="00B02F04">
        <w:tc>
          <w:tcPr>
            <w:tcW w:w="1200" w:type="dxa"/>
          </w:tcPr>
          <w:p w:rsidR="00B63B6F" w:rsidRPr="00777C83" w:rsidRDefault="00B63B6F" w:rsidP="008F19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7C83">
              <w:rPr>
                <w:rFonts w:ascii="Arial" w:hAnsi="Arial" w:cs="Arial"/>
                <w:sz w:val="16"/>
                <w:szCs w:val="16"/>
              </w:rPr>
              <w:t>Riohacha</w:t>
            </w:r>
          </w:p>
          <w:p w:rsidR="00B63B6F" w:rsidRPr="00777C83" w:rsidRDefault="00B63B6F" w:rsidP="008F19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7C83">
              <w:rPr>
                <w:rFonts w:ascii="Arial" w:hAnsi="Arial" w:cs="Arial"/>
                <w:sz w:val="16"/>
                <w:szCs w:val="16"/>
              </w:rPr>
              <w:t>La Guajira</w:t>
            </w:r>
          </w:p>
        </w:tc>
        <w:tc>
          <w:tcPr>
            <w:tcW w:w="1099" w:type="dxa"/>
          </w:tcPr>
          <w:p w:rsidR="00B63B6F" w:rsidRPr="00777C83" w:rsidRDefault="00B63B6F" w:rsidP="008F19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7C83">
              <w:rPr>
                <w:rFonts w:ascii="Arial" w:hAnsi="Arial" w:cs="Arial"/>
                <w:sz w:val="16"/>
                <w:szCs w:val="16"/>
              </w:rPr>
              <w:t xml:space="preserve">58  centros educativo 35922 estudiantes se cuentan con 1200 docentes 83,8% laboran en </w:t>
            </w:r>
            <w:proofErr w:type="spellStart"/>
            <w:r w:rsidRPr="00777C83">
              <w:rPr>
                <w:rFonts w:ascii="Arial" w:hAnsi="Arial" w:cs="Arial"/>
                <w:sz w:val="16"/>
                <w:szCs w:val="16"/>
              </w:rPr>
              <w:t>inst.</w:t>
            </w:r>
            <w:proofErr w:type="spellEnd"/>
            <w:r w:rsidRPr="00777C83">
              <w:rPr>
                <w:rFonts w:ascii="Arial" w:hAnsi="Arial" w:cs="Arial"/>
                <w:sz w:val="16"/>
                <w:szCs w:val="16"/>
              </w:rPr>
              <w:t xml:space="preserve"> oficiales</w:t>
            </w:r>
          </w:p>
        </w:tc>
        <w:tc>
          <w:tcPr>
            <w:tcW w:w="1378" w:type="dxa"/>
          </w:tcPr>
          <w:p w:rsidR="00B63B6F" w:rsidRPr="00777C83" w:rsidRDefault="00B63B6F" w:rsidP="008F1964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777C83">
              <w:rPr>
                <w:rFonts w:ascii="Arial" w:hAnsi="Arial" w:cs="Arial"/>
                <w:sz w:val="16"/>
                <w:szCs w:val="16"/>
              </w:rPr>
              <w:t xml:space="preserve">Un proceso de crecimiento  El desarrollo de la Industria Pesquera. </w:t>
            </w:r>
          </w:p>
          <w:p w:rsidR="00B63B6F" w:rsidRPr="00777C83" w:rsidRDefault="00B63B6F" w:rsidP="008F1964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777C83">
              <w:rPr>
                <w:rFonts w:ascii="Arial" w:hAnsi="Arial" w:cs="Arial"/>
                <w:sz w:val="16"/>
                <w:szCs w:val="16"/>
              </w:rPr>
              <w:t xml:space="preserve">Gestionar la construcción de un matadero regional con fines de exportación. </w:t>
            </w:r>
          </w:p>
          <w:p w:rsidR="00B63B6F" w:rsidRPr="00777C83" w:rsidRDefault="00B63B6F" w:rsidP="008F1964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777C83">
              <w:rPr>
                <w:rFonts w:ascii="Arial" w:hAnsi="Arial" w:cs="Arial"/>
                <w:sz w:val="16"/>
                <w:szCs w:val="16"/>
              </w:rPr>
              <w:t xml:space="preserve">Impulsara la actividad turística a través de la construcción de obras para el desarrollo del ecoturismo, </w:t>
            </w:r>
            <w:proofErr w:type="spellStart"/>
            <w:r w:rsidRPr="00777C83">
              <w:rPr>
                <w:rFonts w:ascii="Arial" w:hAnsi="Arial" w:cs="Arial"/>
                <w:sz w:val="16"/>
                <w:szCs w:val="16"/>
              </w:rPr>
              <w:t>etnoturismo</w:t>
            </w:r>
            <w:proofErr w:type="spellEnd"/>
            <w:r w:rsidRPr="00777C83">
              <w:rPr>
                <w:rFonts w:ascii="Arial" w:hAnsi="Arial" w:cs="Arial"/>
                <w:sz w:val="16"/>
                <w:szCs w:val="16"/>
              </w:rPr>
              <w:t xml:space="preserve"> y agroturismo. </w:t>
            </w:r>
          </w:p>
          <w:p w:rsidR="00B63B6F" w:rsidRPr="00777C83" w:rsidRDefault="00B63B6F" w:rsidP="008F1964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777C83">
              <w:rPr>
                <w:rFonts w:ascii="Arial" w:hAnsi="Arial" w:cs="Arial"/>
                <w:sz w:val="16"/>
                <w:szCs w:val="16"/>
              </w:rPr>
              <w:t xml:space="preserve">Construcción de espacios públicos para el disfrute de la ciudadanía </w:t>
            </w:r>
          </w:p>
          <w:p w:rsidR="00B63B6F" w:rsidRPr="00777C83" w:rsidRDefault="00B63B6F" w:rsidP="008F1964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777C83">
              <w:rPr>
                <w:rFonts w:ascii="Arial" w:hAnsi="Arial" w:cs="Arial"/>
                <w:sz w:val="16"/>
                <w:szCs w:val="16"/>
              </w:rPr>
              <w:t xml:space="preserve">Construcción del gran Centro Administrativo e Institucional </w:t>
            </w:r>
          </w:p>
          <w:p w:rsidR="00B63B6F" w:rsidRPr="00777C83" w:rsidRDefault="00B63B6F" w:rsidP="008F19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8" w:type="dxa"/>
          </w:tcPr>
          <w:p w:rsidR="00B63B6F" w:rsidRPr="00777C83" w:rsidRDefault="00B63B6F" w:rsidP="008F19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7C83">
              <w:rPr>
                <w:rFonts w:ascii="Arial" w:hAnsi="Arial" w:cs="Arial"/>
                <w:sz w:val="16"/>
                <w:szCs w:val="16"/>
              </w:rPr>
              <w:t>Grupos al margen de la ley Explorar la construcción de acuerdos humanitarios, promover experiencias para el ejercicio de la reconciliación y el perdón. Hacer del diálogo social el mecanismo por excelencia para construir y compartir valores colectivamente. La participación ciudadana</w:t>
            </w:r>
          </w:p>
        </w:tc>
        <w:tc>
          <w:tcPr>
            <w:tcW w:w="1176" w:type="dxa"/>
          </w:tcPr>
          <w:p w:rsidR="00B63B6F" w:rsidRPr="00777C83" w:rsidRDefault="00B63B6F" w:rsidP="008F19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7C83">
              <w:rPr>
                <w:rFonts w:ascii="Arial" w:hAnsi="Arial" w:cs="Arial"/>
                <w:sz w:val="16"/>
                <w:szCs w:val="16"/>
              </w:rPr>
              <w:t>Apunta  la niñez, adolescencia y juventud con prioridad en los más pobres, porque hay desigualdad la igualdad de oportunidades entre mujeres y hombres, el respeto a la diferencia y a la diversidad, la organización social solidaria y el derecho a bienes y servicios sociales.</w:t>
            </w:r>
          </w:p>
        </w:tc>
        <w:tc>
          <w:tcPr>
            <w:tcW w:w="1184" w:type="dxa"/>
          </w:tcPr>
          <w:p w:rsidR="00B63B6F" w:rsidRPr="00777C83" w:rsidRDefault="00B63B6F" w:rsidP="008F19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7C83">
              <w:rPr>
                <w:rFonts w:ascii="Arial" w:hAnsi="Arial" w:cs="Arial"/>
                <w:sz w:val="16"/>
                <w:szCs w:val="16"/>
              </w:rPr>
              <w:t>Niños y ancianos  las necesidades básicas, vitales para su subsistencia y medio de vida, y a los derechos reconocidos en la Constitución Política y en la legislación indígena. Lo anterior conlleva a concluir que las acciones de los gobiernos departamental y municipal para prestar servicios sociales</w:t>
            </w:r>
          </w:p>
        </w:tc>
        <w:tc>
          <w:tcPr>
            <w:tcW w:w="1834" w:type="dxa"/>
          </w:tcPr>
          <w:p w:rsidR="00B63B6F" w:rsidRPr="00777C83" w:rsidRDefault="00B63B6F" w:rsidP="008F1964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777C83">
              <w:rPr>
                <w:rFonts w:ascii="Arial" w:hAnsi="Arial" w:cs="Arial"/>
                <w:sz w:val="16"/>
                <w:szCs w:val="16"/>
              </w:rPr>
              <w:t>comunicación y transporte con las áreas de mayor potencial  en carreteras</w:t>
            </w:r>
          </w:p>
          <w:p w:rsidR="00B63B6F" w:rsidRPr="00777C83" w:rsidRDefault="00B63B6F" w:rsidP="008F19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7C83">
              <w:rPr>
                <w:rFonts w:ascii="Arial" w:hAnsi="Arial" w:cs="Arial"/>
                <w:color w:val="000000"/>
                <w:sz w:val="16"/>
                <w:szCs w:val="16"/>
              </w:rPr>
              <w:t>telecomunicaciones</w:t>
            </w:r>
            <w:r w:rsidRPr="00777C83">
              <w:rPr>
                <w:rFonts w:ascii="Arial" w:hAnsi="Arial" w:cs="Arial"/>
                <w:sz w:val="16"/>
                <w:szCs w:val="16"/>
              </w:rPr>
              <w:t xml:space="preserve">   inalámbrica en tiempo real con las Entidades Bancarias, </w:t>
            </w:r>
          </w:p>
          <w:p w:rsidR="00B63B6F" w:rsidRPr="00777C83" w:rsidRDefault="00B63B6F" w:rsidP="008F1964">
            <w:pPr>
              <w:tabs>
                <w:tab w:val="left" w:pos="1755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7C8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777C83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</w:p>
          <w:p w:rsidR="00B63B6F" w:rsidRPr="00777C83" w:rsidRDefault="00B63B6F" w:rsidP="008F19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4" w:type="dxa"/>
          </w:tcPr>
          <w:p w:rsidR="00B63B6F" w:rsidRPr="00777C83" w:rsidRDefault="00B63B6F" w:rsidP="008F1964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777C83">
              <w:rPr>
                <w:rFonts w:ascii="Arial" w:hAnsi="Arial" w:cs="Arial"/>
                <w:sz w:val="16"/>
                <w:szCs w:val="16"/>
              </w:rPr>
              <w:t xml:space="preserve">Deficiencia en la prestación del servicio de primer nivel, en el sector rural y urbano (insuficiente recurso humano, inadecuada dotación de insumos, e infraestructura física) </w:t>
            </w:r>
          </w:p>
          <w:p w:rsidR="00B63B6F" w:rsidRPr="00777C83" w:rsidRDefault="00B63B6F" w:rsidP="008F19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7C83">
              <w:rPr>
                <w:rFonts w:ascii="Arial" w:hAnsi="Arial" w:cs="Arial"/>
                <w:sz w:val="16"/>
                <w:szCs w:val="16"/>
              </w:rPr>
              <w:t>Deficiencia en la prestación de servicios de 2 ,3 nivel</w:t>
            </w:r>
          </w:p>
        </w:tc>
        <w:tc>
          <w:tcPr>
            <w:tcW w:w="1293" w:type="dxa"/>
          </w:tcPr>
          <w:p w:rsidR="00B63B6F" w:rsidRPr="00777C83" w:rsidRDefault="00B63B6F" w:rsidP="008F1964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777C83">
              <w:rPr>
                <w:rFonts w:ascii="Arial" w:hAnsi="Arial" w:cs="Arial"/>
                <w:sz w:val="16"/>
                <w:szCs w:val="16"/>
              </w:rPr>
              <w:t xml:space="preserve">Alto nivel de desempleo e empleo informal </w:t>
            </w:r>
          </w:p>
          <w:p w:rsidR="00B63B6F" w:rsidRPr="00777C83" w:rsidRDefault="00B63B6F" w:rsidP="008F1964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77C83">
              <w:rPr>
                <w:rFonts w:ascii="Arial" w:hAnsi="Arial" w:cs="Arial"/>
                <w:sz w:val="16"/>
                <w:szCs w:val="16"/>
              </w:rPr>
              <w:t xml:space="preserve">acuerdos con los demás actores sociales que posibiliten el desarrollo de procesos económicos y sociales y así potencializar sus comunidades y su entorno contribuyan al desarrollo humano sostenible armónico de las comunidades  indígenas  </w:t>
            </w:r>
          </w:p>
          <w:p w:rsidR="00B63B6F" w:rsidRPr="00777C83" w:rsidRDefault="00B63B6F" w:rsidP="008F19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8" w:type="dxa"/>
          </w:tcPr>
          <w:p w:rsidR="00B63B6F" w:rsidRPr="00777C83" w:rsidRDefault="00B63B6F" w:rsidP="008F19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7C83">
              <w:rPr>
                <w:rFonts w:ascii="Arial" w:hAnsi="Arial" w:cs="Arial"/>
                <w:sz w:val="16"/>
                <w:szCs w:val="16"/>
              </w:rPr>
              <w:t>Riohacha a la racionalización de los recursos económicos y a la articulación de esfuerzos para mejorar las condiciones de las poblaciones menos favorecidas de la región, especialmente de los niños, las niñas, los adultos mayores en situación de vulnerabilidad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63B6F" w:rsidRPr="00777C83" w:rsidRDefault="00B63B6F" w:rsidP="008F19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7C83">
              <w:rPr>
                <w:rFonts w:ascii="Arial" w:hAnsi="Arial" w:cs="Arial"/>
                <w:sz w:val="16"/>
                <w:szCs w:val="16"/>
              </w:rPr>
              <w:t>El Municipio presente aspectos ambientales que generan impactos positivos y negativos</w:t>
            </w:r>
          </w:p>
          <w:p w:rsidR="00B63B6F" w:rsidRPr="00777C83" w:rsidRDefault="00B63B6F" w:rsidP="008F1964">
            <w:pPr>
              <w:rPr>
                <w:rFonts w:ascii="Arial" w:hAnsi="Arial" w:cs="Arial"/>
                <w:sz w:val="16"/>
                <w:szCs w:val="16"/>
              </w:rPr>
            </w:pPr>
          </w:p>
          <w:p w:rsidR="00B63B6F" w:rsidRPr="00777C83" w:rsidRDefault="00B63B6F" w:rsidP="008F1964">
            <w:pPr>
              <w:rPr>
                <w:rFonts w:ascii="Arial" w:hAnsi="Arial" w:cs="Arial"/>
                <w:sz w:val="16"/>
                <w:szCs w:val="16"/>
              </w:rPr>
            </w:pPr>
            <w:r w:rsidRPr="00777C83">
              <w:rPr>
                <w:rFonts w:ascii="Arial" w:hAnsi="Arial" w:cs="Arial"/>
                <w:sz w:val="16"/>
                <w:szCs w:val="16"/>
              </w:rPr>
              <w:t>Riohacha cuenta con áreas estratégicas para la conservación y preservación ambiental como son: la laguna salada, ecosistema de gran impacto para la comunidad, por considerarse un pulmón para la producción de oxigeno.</w:t>
            </w:r>
          </w:p>
        </w:tc>
      </w:tr>
      <w:tr w:rsidR="00271CC7" w:rsidRPr="00777C83" w:rsidTr="00B02F04">
        <w:tc>
          <w:tcPr>
            <w:tcW w:w="1200" w:type="dxa"/>
          </w:tcPr>
          <w:p w:rsidR="00B63B6F" w:rsidRPr="00777C83" w:rsidRDefault="00B63B6F" w:rsidP="008F19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7C83">
              <w:rPr>
                <w:rFonts w:ascii="Arial" w:hAnsi="Arial" w:cs="Arial"/>
                <w:sz w:val="16"/>
                <w:szCs w:val="16"/>
              </w:rPr>
              <w:t>Jamundí</w:t>
            </w:r>
          </w:p>
          <w:p w:rsidR="00B63B6F" w:rsidRPr="00777C83" w:rsidRDefault="00B63B6F" w:rsidP="008F19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7C83">
              <w:rPr>
                <w:rFonts w:ascii="Arial" w:hAnsi="Arial" w:cs="Arial"/>
                <w:sz w:val="16"/>
                <w:szCs w:val="16"/>
              </w:rPr>
              <w:t>Valle Del Cauca</w:t>
            </w:r>
          </w:p>
        </w:tc>
        <w:tc>
          <w:tcPr>
            <w:tcW w:w="1099" w:type="dxa"/>
          </w:tcPr>
          <w:p w:rsidR="00B63B6F" w:rsidRPr="00777C83" w:rsidRDefault="00B63B6F" w:rsidP="008F19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Municipio certificado con 16 Instituciones Educativas (Primarias y Bachillerato), y una Corporación Universitaria</w:t>
            </w:r>
          </w:p>
        </w:tc>
        <w:tc>
          <w:tcPr>
            <w:tcW w:w="1378" w:type="dxa"/>
          </w:tcPr>
          <w:p w:rsidR="00B63B6F" w:rsidRPr="00777C83" w:rsidRDefault="00B63B6F" w:rsidP="008F19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Ganadería, Agricultura, Explotación Minera, Turismo e Industria de la Construcción</w:t>
            </w:r>
          </w:p>
        </w:tc>
        <w:tc>
          <w:tcPr>
            <w:tcW w:w="1378" w:type="dxa"/>
          </w:tcPr>
          <w:p w:rsidR="00B63B6F" w:rsidRPr="00777C83" w:rsidRDefault="00644A31" w:rsidP="008F19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Presencia de grupos al margen de la ley (derecha e izquierda) en veredas del municipio, narcotráfico, grupos de limpieza social para – policiales.</w:t>
            </w:r>
          </w:p>
        </w:tc>
        <w:tc>
          <w:tcPr>
            <w:tcW w:w="1176" w:type="dxa"/>
          </w:tcPr>
          <w:p w:rsidR="00B63B6F" w:rsidRPr="00777C83" w:rsidRDefault="00271CC7" w:rsidP="00271C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Gran presencia de comunidad afro-colombiana. Incremento  de personas de clase alta en conjuntos residenciales periféricos de alto estrato provenientes en su mayoría de Cali. El empleo depende en gran medida de la ciudad de Cali. </w:t>
            </w:r>
          </w:p>
        </w:tc>
        <w:tc>
          <w:tcPr>
            <w:tcW w:w="1184" w:type="dxa"/>
          </w:tcPr>
          <w:p w:rsidR="00B63B6F" w:rsidRPr="00777C83" w:rsidRDefault="00735456" w:rsidP="008F19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Población desplazada de sus veredas por presencia de grupos al margen de la ley</w:t>
            </w:r>
          </w:p>
        </w:tc>
        <w:tc>
          <w:tcPr>
            <w:tcW w:w="1834" w:type="dxa"/>
          </w:tcPr>
          <w:p w:rsidR="00B63B6F" w:rsidRPr="00777C83" w:rsidRDefault="00735456" w:rsidP="008F19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Vías terrestres (Panamericana, Cañas Gordas), fluviales (balsaje Río Cauca). Internet Banda Ancha y telefonía de gran calidad</w:t>
            </w:r>
          </w:p>
        </w:tc>
        <w:tc>
          <w:tcPr>
            <w:tcW w:w="1184" w:type="dxa"/>
          </w:tcPr>
          <w:p w:rsidR="00B63B6F" w:rsidRPr="00777C83" w:rsidRDefault="00735456" w:rsidP="007354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Hospital Piloto Jamundí, clínicas privadas y EPS. </w:t>
            </w:r>
          </w:p>
        </w:tc>
        <w:tc>
          <w:tcPr>
            <w:tcW w:w="1293" w:type="dxa"/>
          </w:tcPr>
          <w:p w:rsidR="00B63B6F" w:rsidRPr="00777C83" w:rsidRDefault="00735456" w:rsidP="00271C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Clientelismo, malversación de fondos, gestión de alcaldes ineficientes empobrecen la población y la privan de sus derechos. </w:t>
            </w:r>
          </w:p>
        </w:tc>
        <w:tc>
          <w:tcPr>
            <w:tcW w:w="1218" w:type="dxa"/>
          </w:tcPr>
          <w:p w:rsidR="00B63B6F" w:rsidRPr="00777C83" w:rsidRDefault="00271CC7" w:rsidP="00271C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Gran cantidad de población desplazada proveniente de veredas cercanas al Dpto. del Cauca.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63B6F" w:rsidRPr="00777C83" w:rsidRDefault="00735456" w:rsidP="008F19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Cuenca hidrográfica, con tres sistemas hidrográficos, Municipio integrado por ecosistema de selva andina, sub-andina y seca.</w:t>
            </w:r>
          </w:p>
        </w:tc>
      </w:tr>
      <w:tr w:rsidR="00271CC7" w:rsidRPr="00777C83" w:rsidTr="00B02F04">
        <w:tc>
          <w:tcPr>
            <w:tcW w:w="1200" w:type="dxa"/>
          </w:tcPr>
          <w:p w:rsidR="00B63B6F" w:rsidRPr="00777C83" w:rsidRDefault="00B63B6F" w:rsidP="008F19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77C83">
              <w:rPr>
                <w:rFonts w:ascii="Arial" w:hAnsi="Arial" w:cs="Arial"/>
                <w:sz w:val="16"/>
                <w:szCs w:val="16"/>
              </w:rPr>
              <w:lastRenderedPageBreak/>
              <w:t>Gachancipa</w:t>
            </w:r>
            <w:proofErr w:type="spellEnd"/>
          </w:p>
          <w:p w:rsidR="00B63B6F" w:rsidRPr="00777C83" w:rsidRDefault="00B63B6F" w:rsidP="008F19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7C83">
              <w:rPr>
                <w:rFonts w:ascii="Arial" w:hAnsi="Arial" w:cs="Arial"/>
                <w:sz w:val="16"/>
                <w:szCs w:val="16"/>
              </w:rPr>
              <w:t>Cundinamarca</w:t>
            </w:r>
          </w:p>
          <w:p w:rsidR="00B63B6F" w:rsidRPr="00777C83" w:rsidRDefault="00B63B6F" w:rsidP="008F19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099" w:type="dxa"/>
          </w:tcPr>
          <w:p w:rsidR="00B63B6F" w:rsidRPr="00777C83" w:rsidRDefault="00B63B6F" w:rsidP="008F19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7C83">
              <w:rPr>
                <w:rFonts w:ascii="Arial" w:hAnsi="Arial" w:cs="Arial"/>
                <w:sz w:val="16"/>
                <w:szCs w:val="16"/>
              </w:rPr>
              <w:t>calidad educativa a través de capacitación a maestros, modificación de la metodología  pedagógica, dotación de ayudas pedagógicas como laboratorios de idiomas,  herramientas informáticas, laboratorios de biología, física y química; por último se  debe trabajar en la modificación del área de técnicas para que se incluya formación  técnica que responda a las necesidades de la industria que llegará al Municipio</w:t>
            </w:r>
          </w:p>
        </w:tc>
        <w:tc>
          <w:tcPr>
            <w:tcW w:w="1378" w:type="dxa"/>
          </w:tcPr>
          <w:p w:rsidR="00B63B6F" w:rsidRPr="00777C83" w:rsidRDefault="00B63B6F" w:rsidP="008F19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7C83">
              <w:rPr>
                <w:rFonts w:ascii="Arial" w:hAnsi="Arial" w:cs="Arial"/>
                <w:sz w:val="16"/>
                <w:szCs w:val="16"/>
              </w:rPr>
              <w:t xml:space="preserve">Dentro de la realidad socioeconómica de los </w:t>
            </w:r>
            <w:proofErr w:type="spellStart"/>
            <w:r w:rsidRPr="00777C83">
              <w:rPr>
                <w:rFonts w:ascii="Arial" w:hAnsi="Arial" w:cs="Arial"/>
                <w:sz w:val="16"/>
                <w:szCs w:val="16"/>
              </w:rPr>
              <w:t>Gachancipeños</w:t>
            </w:r>
            <w:proofErr w:type="spellEnd"/>
            <w:r w:rsidRPr="00777C83">
              <w:rPr>
                <w:rFonts w:ascii="Arial" w:hAnsi="Arial" w:cs="Arial"/>
                <w:sz w:val="16"/>
                <w:szCs w:val="16"/>
              </w:rPr>
              <w:t xml:space="preserve">  vemos como la decisión de  considerar el municipio como Agroindustrial ha repercutido en bajos ingresos para la  comunidad, desencadenando también dificultades para sostener a los hijos dentro del  sistema educativo, imposibilidad de acceder a otros niveles de estudios</w:t>
            </w:r>
          </w:p>
        </w:tc>
        <w:tc>
          <w:tcPr>
            <w:tcW w:w="1378" w:type="dxa"/>
          </w:tcPr>
          <w:p w:rsidR="00B63B6F" w:rsidRPr="00777C83" w:rsidRDefault="00B63B6F" w:rsidP="008F1964">
            <w:pPr>
              <w:spacing w:line="360" w:lineRule="auto"/>
              <w:jc w:val="both"/>
              <w:rPr>
                <w:rFonts w:ascii="Arial" w:eastAsia="SymbolMT" w:hAnsi="Arial" w:cs="Arial"/>
                <w:sz w:val="16"/>
                <w:szCs w:val="16"/>
              </w:rPr>
            </w:pPr>
            <w:r w:rsidRPr="00777C83">
              <w:rPr>
                <w:rFonts w:ascii="Arial" w:eastAsia="SymbolMT" w:hAnsi="Arial" w:cs="Arial"/>
                <w:sz w:val="16"/>
                <w:szCs w:val="16"/>
              </w:rPr>
              <w:t xml:space="preserve">Conflictos de orden social por el desplazamiento paulatino de la comunidad campesina hacia la ciudad, la desarticulación de las  relaciones socioeconómicas tradicionales y la generación de conflictos entre la  comunidad inmigrante citadina y las comunidades campesinas pertenecientes a  economías y culturas contrastantes. </w:t>
            </w:r>
          </w:p>
          <w:p w:rsidR="00B63B6F" w:rsidRPr="00777C83" w:rsidRDefault="00B63B6F" w:rsidP="008F19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6" w:type="dxa"/>
          </w:tcPr>
          <w:p w:rsidR="00B63B6F" w:rsidRPr="00777C83" w:rsidRDefault="00B63B6F" w:rsidP="008F19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7C83">
              <w:rPr>
                <w:rFonts w:ascii="Arial" w:eastAsia="SymbolMT" w:hAnsi="Arial" w:cs="Arial"/>
                <w:sz w:val="16"/>
                <w:szCs w:val="16"/>
              </w:rPr>
              <w:t>El tamaño de la población se convierte en uno de los elementos básicos en la planeación,  por sí sólo no puede ser evaluado como un número de habitantes adecuado o no para el municipio.</w:t>
            </w:r>
          </w:p>
        </w:tc>
        <w:tc>
          <w:tcPr>
            <w:tcW w:w="1184" w:type="dxa"/>
          </w:tcPr>
          <w:p w:rsidR="00B63B6F" w:rsidRPr="00777C83" w:rsidRDefault="00B63B6F" w:rsidP="008F19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7C83">
              <w:rPr>
                <w:rFonts w:ascii="Arial" w:hAnsi="Arial" w:cs="Arial"/>
                <w:sz w:val="16"/>
                <w:szCs w:val="16"/>
              </w:rPr>
              <w:t>En el municipio existe dos grupos vulnerables como son las personas de la tercera edad y los desplazados que viene de otras partes del país y del departamento huyendo de la violencia y estos grupos realmente viven en el abandono del estado y del gobierno local</w:t>
            </w:r>
          </w:p>
        </w:tc>
        <w:tc>
          <w:tcPr>
            <w:tcW w:w="1834" w:type="dxa"/>
          </w:tcPr>
          <w:p w:rsidR="00B63B6F" w:rsidRPr="00777C83" w:rsidRDefault="00B63B6F" w:rsidP="008F19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7C83">
              <w:rPr>
                <w:rFonts w:ascii="Arial" w:hAnsi="Arial" w:cs="Arial"/>
                <w:sz w:val="16"/>
                <w:szCs w:val="16"/>
              </w:rPr>
              <w:t xml:space="preserve">La telefonía fija en </w:t>
            </w:r>
            <w:proofErr w:type="spellStart"/>
            <w:r w:rsidRPr="00777C83">
              <w:rPr>
                <w:rFonts w:ascii="Arial" w:hAnsi="Arial" w:cs="Arial"/>
                <w:sz w:val="16"/>
                <w:szCs w:val="16"/>
              </w:rPr>
              <w:t>Gachancipa</w:t>
            </w:r>
            <w:proofErr w:type="spellEnd"/>
            <w:r w:rsidRPr="00777C83">
              <w:rPr>
                <w:rFonts w:ascii="Arial" w:hAnsi="Arial" w:cs="Arial"/>
                <w:sz w:val="16"/>
                <w:szCs w:val="16"/>
              </w:rPr>
              <w:t xml:space="preserve"> no ha tenido buena cobertura. En el 2005, la cobertura era del 30,8%, muy por debajo del promedio nacional (53,7%), del área metropolitana (48,5%) y de Cundinamarca (42,6%).</w:t>
            </w:r>
          </w:p>
        </w:tc>
        <w:tc>
          <w:tcPr>
            <w:tcW w:w="1184" w:type="dxa"/>
          </w:tcPr>
          <w:p w:rsidR="00B63B6F" w:rsidRPr="00777C83" w:rsidRDefault="00B63B6F" w:rsidP="008F19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7C83">
              <w:rPr>
                <w:rFonts w:ascii="Arial" w:eastAsia="SymbolMT" w:hAnsi="Arial" w:cs="Arial"/>
                <w:sz w:val="16"/>
                <w:szCs w:val="16"/>
              </w:rPr>
              <w:t xml:space="preserve">Se encuentra que un 55% de la población se  encuentra afiliada al régimen contributivo, un 15% al régimen subsidiado y un 30%  se encuentra como vinculado.  </w:t>
            </w:r>
          </w:p>
        </w:tc>
        <w:tc>
          <w:tcPr>
            <w:tcW w:w="1293" w:type="dxa"/>
          </w:tcPr>
          <w:p w:rsidR="00B63B6F" w:rsidRPr="00777C83" w:rsidRDefault="00B63B6F" w:rsidP="008F19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7C83">
              <w:rPr>
                <w:rFonts w:ascii="Arial" w:eastAsia="SymbolMT" w:hAnsi="Arial" w:cs="Arial"/>
                <w:sz w:val="16"/>
                <w:szCs w:val="16"/>
              </w:rPr>
              <w:t>busca satisfacer los derechos constitucionales y legales y mejorar el bienestar de la sociedad, garantizando condiciones de productividad, oportunidad laboral y competitividad para el desarrollo económico y social del municipio y sus habitantes; bajo criterios de equidad, desarrollo humano, sostenibilidad ambiental y calidad en el servicio</w:t>
            </w:r>
          </w:p>
        </w:tc>
        <w:tc>
          <w:tcPr>
            <w:tcW w:w="1218" w:type="dxa"/>
          </w:tcPr>
          <w:p w:rsidR="00B63B6F" w:rsidRPr="00777C83" w:rsidRDefault="00B63B6F" w:rsidP="008F1964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7C83">
              <w:rPr>
                <w:rFonts w:ascii="Arial" w:hAnsi="Arial" w:cs="Arial"/>
                <w:color w:val="000000"/>
                <w:sz w:val="16"/>
                <w:szCs w:val="16"/>
              </w:rPr>
              <w:t>La labor se centra alrededor de las personas en situación de discapacidad, reconociendo sus capacidades y no sus dificultades; basándose en los principios de Integración, Autonomía y Equiparación de oportunidades, involucrando a la familia y a la comunidad en los procesos de Habilitación Funcional e Inclusión Social y en el fortalecimiento de las redes de apoyo social.</w:t>
            </w:r>
          </w:p>
          <w:p w:rsidR="00B63B6F" w:rsidRPr="00777C83" w:rsidRDefault="00B63B6F" w:rsidP="008F19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63B6F" w:rsidRPr="00777C83" w:rsidRDefault="00B63B6F" w:rsidP="008F19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7C83">
              <w:rPr>
                <w:rFonts w:ascii="Arial" w:hAnsi="Arial" w:cs="Arial"/>
                <w:sz w:val="16"/>
                <w:szCs w:val="16"/>
              </w:rPr>
              <w:t>la responsabilidad de velar por un ambiente sano, evitar  la contaminación y el deterioro, proteger el patrimonio y ahorrar  recursos y energía, requiere de la activa participación y concurso de  la sociedad civil en su conjunto</w:t>
            </w:r>
          </w:p>
        </w:tc>
      </w:tr>
    </w:tbl>
    <w:p w:rsidR="00026E32" w:rsidRDefault="00026E32"/>
    <w:sectPr w:rsidR="00026E32" w:rsidSect="00B02F0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43D" w:rsidRDefault="00A6643D" w:rsidP="00B63B6F">
      <w:pPr>
        <w:spacing w:after="0" w:line="240" w:lineRule="auto"/>
      </w:pPr>
      <w:r>
        <w:separator/>
      </w:r>
    </w:p>
  </w:endnote>
  <w:endnote w:type="continuationSeparator" w:id="0">
    <w:p w:rsidR="00A6643D" w:rsidRDefault="00A6643D" w:rsidP="00B63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43D" w:rsidRDefault="00A6643D" w:rsidP="00B63B6F">
      <w:pPr>
        <w:spacing w:after="0" w:line="240" w:lineRule="auto"/>
      </w:pPr>
      <w:r>
        <w:separator/>
      </w:r>
    </w:p>
  </w:footnote>
  <w:footnote w:type="continuationSeparator" w:id="0">
    <w:p w:rsidR="00A6643D" w:rsidRDefault="00A6643D" w:rsidP="00B63B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B6F"/>
    <w:rsid w:val="00026E32"/>
    <w:rsid w:val="0006133B"/>
    <w:rsid w:val="00271CC7"/>
    <w:rsid w:val="00644A31"/>
    <w:rsid w:val="00735456"/>
    <w:rsid w:val="007B6457"/>
    <w:rsid w:val="008F1964"/>
    <w:rsid w:val="00A6643D"/>
    <w:rsid w:val="00B02F04"/>
    <w:rsid w:val="00B63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B6F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63B6F"/>
    <w:pPr>
      <w:spacing w:after="0" w:line="240" w:lineRule="auto"/>
    </w:pPr>
    <w:rPr>
      <w:lang w:val="es-C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63B6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CO"/>
    </w:rPr>
  </w:style>
  <w:style w:type="paragraph" w:styleId="Encabezado">
    <w:name w:val="header"/>
    <w:basedOn w:val="Normal"/>
    <w:link w:val="EncabezadoCar"/>
    <w:uiPriority w:val="99"/>
    <w:unhideWhenUsed/>
    <w:rsid w:val="00B63B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3B6F"/>
    <w:rPr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B63B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63B6F"/>
    <w:rPr>
      <w:lang w:val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B6F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63B6F"/>
    <w:pPr>
      <w:spacing w:after="0" w:line="240" w:lineRule="auto"/>
    </w:pPr>
    <w:rPr>
      <w:lang w:val="es-C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63B6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CO"/>
    </w:rPr>
  </w:style>
  <w:style w:type="paragraph" w:styleId="Encabezado">
    <w:name w:val="header"/>
    <w:basedOn w:val="Normal"/>
    <w:link w:val="EncabezadoCar"/>
    <w:uiPriority w:val="99"/>
    <w:unhideWhenUsed/>
    <w:rsid w:val="00B63B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3B6F"/>
    <w:rPr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B63B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63B6F"/>
    <w:rPr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1050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2</cp:revision>
  <dcterms:created xsi:type="dcterms:W3CDTF">2012-06-06T04:33:00Z</dcterms:created>
  <dcterms:modified xsi:type="dcterms:W3CDTF">2012-06-06T04:33:00Z</dcterms:modified>
</cp:coreProperties>
</file>